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8DA0" w14:textId="298C93D2" w:rsidR="005B56DA" w:rsidRPr="007F25CF" w:rsidRDefault="003928EA" w:rsidP="00DF09D0">
      <w:pPr>
        <w:pStyle w:val="Title"/>
        <w:spacing w:before="240" w:after="0"/>
      </w:pPr>
      <w:bookmarkStart w:id="0" w:name="_Toc188432782"/>
      <w:r w:rsidRPr="007F25CF">
        <w:t>MAQ Management Plan Template</w:t>
      </w:r>
      <w:bookmarkEnd w:id="0"/>
    </w:p>
    <w:sdt>
      <w:sdtPr>
        <w:rPr>
          <w:rFonts w:cs="Arial"/>
        </w:rPr>
        <w:id w:val="600918050"/>
        <w:docPartObj>
          <w:docPartGallery w:val="Table of Contents"/>
          <w:docPartUnique/>
        </w:docPartObj>
      </w:sdtPr>
      <w:sdtEndPr>
        <w:rPr>
          <w:b w:val="0"/>
          <w:bCs w:val="0"/>
          <w:noProof/>
        </w:rPr>
      </w:sdtEndPr>
      <w:sdtContent>
        <w:p w14:paraId="10653489" w14:textId="77777777" w:rsidR="00C63889" w:rsidRDefault="00361936" w:rsidP="003041D5">
          <w:pPr>
            <w:pStyle w:val="TOCHeading"/>
            <w:spacing w:before="360" w:after="240"/>
            <w:rPr>
              <w:noProof/>
            </w:rPr>
          </w:pPr>
          <w:r w:rsidRPr="007F25CF">
            <w:rPr>
              <w:rFonts w:cs="Arial"/>
            </w:rPr>
            <w:t>Table of Contents</w:t>
          </w:r>
          <w:r w:rsidR="00DF09D0">
            <w:rPr>
              <w:iCs/>
              <w:sz w:val="24"/>
              <w:szCs w:val="24"/>
            </w:rPr>
            <w:fldChar w:fldCharType="begin"/>
          </w:r>
          <w:r w:rsidR="00DF09D0">
            <w:rPr>
              <w:iCs/>
              <w:sz w:val="24"/>
              <w:szCs w:val="24"/>
            </w:rPr>
            <w:instrText xml:space="preserve"> TOC \o "2-2" \h \z \u \t "Heading 1,1" </w:instrText>
          </w:r>
          <w:r w:rsidR="00DF09D0">
            <w:rPr>
              <w:iCs/>
              <w:sz w:val="24"/>
              <w:szCs w:val="24"/>
            </w:rPr>
            <w:fldChar w:fldCharType="separate"/>
          </w:r>
        </w:p>
        <w:p w14:paraId="159D192E" w14:textId="1579C5AD" w:rsidR="00C63889" w:rsidRDefault="00C63889">
          <w:pPr>
            <w:pStyle w:val="TOC1"/>
            <w:tabs>
              <w:tab w:val="right" w:leader="dot" w:pos="9350"/>
            </w:tabs>
            <w:rPr>
              <w:rFonts w:asciiTheme="minorHAnsi" w:eastAsiaTheme="minorEastAsia" w:hAnsiTheme="minorHAnsi" w:cstheme="minorBidi"/>
              <w:b w:val="0"/>
              <w:bCs w:val="0"/>
              <w:iCs w:val="0"/>
              <w:noProof/>
            </w:rPr>
          </w:pPr>
          <w:hyperlink w:anchor="_Toc188448191" w:history="1">
            <w:r w:rsidRPr="000B0D9C">
              <w:rPr>
                <w:rStyle w:val="Hyperlink"/>
                <w:noProof/>
              </w:rPr>
              <w:t>MAQ Management Plan Template</w:t>
            </w:r>
            <w:r>
              <w:rPr>
                <w:noProof/>
                <w:webHidden/>
              </w:rPr>
              <w:tab/>
            </w:r>
            <w:r>
              <w:rPr>
                <w:noProof/>
                <w:webHidden/>
              </w:rPr>
              <w:fldChar w:fldCharType="begin"/>
            </w:r>
            <w:r>
              <w:rPr>
                <w:noProof/>
                <w:webHidden/>
              </w:rPr>
              <w:instrText xml:space="preserve"> PAGEREF _Toc188448191 \h </w:instrText>
            </w:r>
            <w:r>
              <w:rPr>
                <w:noProof/>
                <w:webHidden/>
              </w:rPr>
            </w:r>
            <w:r>
              <w:rPr>
                <w:noProof/>
                <w:webHidden/>
              </w:rPr>
              <w:fldChar w:fldCharType="separate"/>
            </w:r>
            <w:r>
              <w:rPr>
                <w:noProof/>
                <w:webHidden/>
              </w:rPr>
              <w:t>2</w:t>
            </w:r>
            <w:r>
              <w:rPr>
                <w:noProof/>
                <w:webHidden/>
              </w:rPr>
              <w:fldChar w:fldCharType="end"/>
            </w:r>
          </w:hyperlink>
        </w:p>
        <w:p w14:paraId="46DBB009" w14:textId="3A6D7EE6"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2" w:history="1">
            <w:r w:rsidRPr="000B0D9C">
              <w:rPr>
                <w:rStyle w:val="Hyperlink"/>
                <w:noProof/>
              </w:rPr>
              <w:t>Executive Summary</w:t>
            </w:r>
            <w:r>
              <w:rPr>
                <w:noProof/>
                <w:webHidden/>
              </w:rPr>
              <w:tab/>
            </w:r>
            <w:r>
              <w:rPr>
                <w:noProof/>
                <w:webHidden/>
              </w:rPr>
              <w:fldChar w:fldCharType="begin"/>
            </w:r>
            <w:r>
              <w:rPr>
                <w:noProof/>
                <w:webHidden/>
              </w:rPr>
              <w:instrText xml:space="preserve"> PAGEREF _Toc188448192 \h </w:instrText>
            </w:r>
            <w:r>
              <w:rPr>
                <w:noProof/>
                <w:webHidden/>
              </w:rPr>
            </w:r>
            <w:r>
              <w:rPr>
                <w:noProof/>
                <w:webHidden/>
              </w:rPr>
              <w:fldChar w:fldCharType="separate"/>
            </w:r>
            <w:r>
              <w:rPr>
                <w:noProof/>
                <w:webHidden/>
              </w:rPr>
              <w:t>2</w:t>
            </w:r>
            <w:r>
              <w:rPr>
                <w:noProof/>
                <w:webHidden/>
              </w:rPr>
              <w:fldChar w:fldCharType="end"/>
            </w:r>
          </w:hyperlink>
        </w:p>
        <w:p w14:paraId="74FD1731" w14:textId="5B64D4AA"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3" w:history="1">
            <w:r w:rsidRPr="000B0D9C">
              <w:rPr>
                <w:rStyle w:val="Hyperlink"/>
                <w:noProof/>
              </w:rPr>
              <w:t>Purpose</w:t>
            </w:r>
            <w:r>
              <w:rPr>
                <w:noProof/>
                <w:webHidden/>
              </w:rPr>
              <w:tab/>
            </w:r>
            <w:r>
              <w:rPr>
                <w:noProof/>
                <w:webHidden/>
              </w:rPr>
              <w:fldChar w:fldCharType="begin"/>
            </w:r>
            <w:r>
              <w:rPr>
                <w:noProof/>
                <w:webHidden/>
              </w:rPr>
              <w:instrText xml:space="preserve"> PAGEREF _Toc188448193 \h </w:instrText>
            </w:r>
            <w:r>
              <w:rPr>
                <w:noProof/>
                <w:webHidden/>
              </w:rPr>
            </w:r>
            <w:r>
              <w:rPr>
                <w:noProof/>
                <w:webHidden/>
              </w:rPr>
              <w:fldChar w:fldCharType="separate"/>
            </w:r>
            <w:r>
              <w:rPr>
                <w:noProof/>
                <w:webHidden/>
              </w:rPr>
              <w:t>2</w:t>
            </w:r>
            <w:r>
              <w:rPr>
                <w:noProof/>
                <w:webHidden/>
              </w:rPr>
              <w:fldChar w:fldCharType="end"/>
            </w:r>
          </w:hyperlink>
        </w:p>
        <w:p w14:paraId="2C6FAF68" w14:textId="072D3E78"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4" w:history="1">
            <w:r w:rsidRPr="000B0D9C">
              <w:rPr>
                <w:rStyle w:val="Hyperlink"/>
                <w:noProof/>
              </w:rPr>
              <w:t>Background</w:t>
            </w:r>
            <w:r>
              <w:rPr>
                <w:noProof/>
                <w:webHidden/>
              </w:rPr>
              <w:tab/>
            </w:r>
            <w:r>
              <w:rPr>
                <w:noProof/>
                <w:webHidden/>
              </w:rPr>
              <w:fldChar w:fldCharType="begin"/>
            </w:r>
            <w:r>
              <w:rPr>
                <w:noProof/>
                <w:webHidden/>
              </w:rPr>
              <w:instrText xml:space="preserve"> PAGEREF _Toc188448194 \h </w:instrText>
            </w:r>
            <w:r>
              <w:rPr>
                <w:noProof/>
                <w:webHidden/>
              </w:rPr>
            </w:r>
            <w:r>
              <w:rPr>
                <w:noProof/>
                <w:webHidden/>
              </w:rPr>
              <w:fldChar w:fldCharType="separate"/>
            </w:r>
            <w:r>
              <w:rPr>
                <w:noProof/>
                <w:webHidden/>
              </w:rPr>
              <w:t>2</w:t>
            </w:r>
            <w:r>
              <w:rPr>
                <w:noProof/>
                <w:webHidden/>
              </w:rPr>
              <w:fldChar w:fldCharType="end"/>
            </w:r>
          </w:hyperlink>
        </w:p>
        <w:p w14:paraId="53A90551" w14:textId="1D94A03C"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5" w:history="1">
            <w:r w:rsidRPr="000B0D9C">
              <w:rPr>
                <w:rStyle w:val="Hyperlink"/>
                <w:noProof/>
              </w:rPr>
              <w:t>Roles and Responsibilities</w:t>
            </w:r>
            <w:r>
              <w:rPr>
                <w:noProof/>
                <w:webHidden/>
              </w:rPr>
              <w:tab/>
            </w:r>
            <w:r>
              <w:rPr>
                <w:noProof/>
                <w:webHidden/>
              </w:rPr>
              <w:fldChar w:fldCharType="begin"/>
            </w:r>
            <w:r>
              <w:rPr>
                <w:noProof/>
                <w:webHidden/>
              </w:rPr>
              <w:instrText xml:space="preserve"> PAGEREF _Toc188448195 \h </w:instrText>
            </w:r>
            <w:r>
              <w:rPr>
                <w:noProof/>
                <w:webHidden/>
              </w:rPr>
            </w:r>
            <w:r>
              <w:rPr>
                <w:noProof/>
                <w:webHidden/>
              </w:rPr>
              <w:fldChar w:fldCharType="separate"/>
            </w:r>
            <w:r>
              <w:rPr>
                <w:noProof/>
                <w:webHidden/>
              </w:rPr>
              <w:t>3</w:t>
            </w:r>
            <w:r>
              <w:rPr>
                <w:noProof/>
                <w:webHidden/>
              </w:rPr>
              <w:fldChar w:fldCharType="end"/>
            </w:r>
          </w:hyperlink>
        </w:p>
        <w:p w14:paraId="163DDAC8" w14:textId="5FB13CE1"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6" w:history="1">
            <w:r w:rsidRPr="000B0D9C">
              <w:rPr>
                <w:rStyle w:val="Hyperlink"/>
                <w:noProof/>
              </w:rPr>
              <w:t>MAQ Status Report</w:t>
            </w:r>
            <w:r>
              <w:rPr>
                <w:noProof/>
                <w:webHidden/>
              </w:rPr>
              <w:tab/>
            </w:r>
            <w:r>
              <w:rPr>
                <w:noProof/>
                <w:webHidden/>
              </w:rPr>
              <w:fldChar w:fldCharType="begin"/>
            </w:r>
            <w:r>
              <w:rPr>
                <w:noProof/>
                <w:webHidden/>
              </w:rPr>
              <w:instrText xml:space="preserve"> PAGEREF _Toc188448196 \h </w:instrText>
            </w:r>
            <w:r>
              <w:rPr>
                <w:noProof/>
                <w:webHidden/>
              </w:rPr>
            </w:r>
            <w:r>
              <w:rPr>
                <w:noProof/>
                <w:webHidden/>
              </w:rPr>
              <w:fldChar w:fldCharType="separate"/>
            </w:r>
            <w:r>
              <w:rPr>
                <w:noProof/>
                <w:webHidden/>
              </w:rPr>
              <w:t>5</w:t>
            </w:r>
            <w:r>
              <w:rPr>
                <w:noProof/>
                <w:webHidden/>
              </w:rPr>
              <w:fldChar w:fldCharType="end"/>
            </w:r>
          </w:hyperlink>
        </w:p>
        <w:p w14:paraId="5DFEE2C7" w14:textId="70F06F45"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7" w:history="1">
            <w:r w:rsidRPr="000B0D9C">
              <w:rPr>
                <w:rStyle w:val="Hyperlink"/>
                <w:noProof/>
              </w:rPr>
              <w:t>MAQ Compliance Strategies</w:t>
            </w:r>
            <w:r>
              <w:rPr>
                <w:noProof/>
                <w:webHidden/>
              </w:rPr>
              <w:tab/>
            </w:r>
            <w:r>
              <w:rPr>
                <w:noProof/>
                <w:webHidden/>
              </w:rPr>
              <w:fldChar w:fldCharType="begin"/>
            </w:r>
            <w:r>
              <w:rPr>
                <w:noProof/>
                <w:webHidden/>
              </w:rPr>
              <w:instrText xml:space="preserve"> PAGEREF _Toc188448197 \h </w:instrText>
            </w:r>
            <w:r>
              <w:rPr>
                <w:noProof/>
                <w:webHidden/>
              </w:rPr>
            </w:r>
            <w:r>
              <w:rPr>
                <w:noProof/>
                <w:webHidden/>
              </w:rPr>
              <w:fldChar w:fldCharType="separate"/>
            </w:r>
            <w:r>
              <w:rPr>
                <w:noProof/>
                <w:webHidden/>
              </w:rPr>
              <w:t>7</w:t>
            </w:r>
            <w:r>
              <w:rPr>
                <w:noProof/>
                <w:webHidden/>
              </w:rPr>
              <w:fldChar w:fldCharType="end"/>
            </w:r>
          </w:hyperlink>
        </w:p>
        <w:p w14:paraId="164EC802" w14:textId="6ABD3AED"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8" w:history="1">
            <w:r w:rsidRPr="000B0D9C">
              <w:rPr>
                <w:rStyle w:val="Hyperlink"/>
                <w:noProof/>
              </w:rPr>
              <w:t>Training Plan</w:t>
            </w:r>
            <w:r>
              <w:rPr>
                <w:noProof/>
                <w:webHidden/>
              </w:rPr>
              <w:tab/>
            </w:r>
            <w:r>
              <w:rPr>
                <w:noProof/>
                <w:webHidden/>
              </w:rPr>
              <w:fldChar w:fldCharType="begin"/>
            </w:r>
            <w:r>
              <w:rPr>
                <w:noProof/>
                <w:webHidden/>
              </w:rPr>
              <w:instrText xml:space="preserve"> PAGEREF _Toc188448198 \h </w:instrText>
            </w:r>
            <w:r>
              <w:rPr>
                <w:noProof/>
                <w:webHidden/>
              </w:rPr>
            </w:r>
            <w:r>
              <w:rPr>
                <w:noProof/>
                <w:webHidden/>
              </w:rPr>
              <w:fldChar w:fldCharType="separate"/>
            </w:r>
            <w:r>
              <w:rPr>
                <w:noProof/>
                <w:webHidden/>
              </w:rPr>
              <w:t>8</w:t>
            </w:r>
            <w:r>
              <w:rPr>
                <w:noProof/>
                <w:webHidden/>
              </w:rPr>
              <w:fldChar w:fldCharType="end"/>
            </w:r>
          </w:hyperlink>
        </w:p>
        <w:p w14:paraId="675BB4CA" w14:textId="4131E3BB"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199" w:history="1">
            <w:r w:rsidRPr="000B0D9C">
              <w:rPr>
                <w:rStyle w:val="Hyperlink"/>
                <w:noProof/>
              </w:rPr>
              <w:t>Corrective Actions and Funding Plan</w:t>
            </w:r>
            <w:r>
              <w:rPr>
                <w:noProof/>
                <w:webHidden/>
              </w:rPr>
              <w:tab/>
            </w:r>
            <w:r>
              <w:rPr>
                <w:noProof/>
                <w:webHidden/>
              </w:rPr>
              <w:fldChar w:fldCharType="begin"/>
            </w:r>
            <w:r>
              <w:rPr>
                <w:noProof/>
                <w:webHidden/>
              </w:rPr>
              <w:instrText xml:space="preserve"> PAGEREF _Toc188448199 \h </w:instrText>
            </w:r>
            <w:r>
              <w:rPr>
                <w:noProof/>
                <w:webHidden/>
              </w:rPr>
            </w:r>
            <w:r>
              <w:rPr>
                <w:noProof/>
                <w:webHidden/>
              </w:rPr>
              <w:fldChar w:fldCharType="separate"/>
            </w:r>
            <w:r>
              <w:rPr>
                <w:noProof/>
                <w:webHidden/>
              </w:rPr>
              <w:t>8</w:t>
            </w:r>
            <w:r>
              <w:rPr>
                <w:noProof/>
                <w:webHidden/>
              </w:rPr>
              <w:fldChar w:fldCharType="end"/>
            </w:r>
          </w:hyperlink>
        </w:p>
        <w:p w14:paraId="44338ED6" w14:textId="5A2A2233"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200" w:history="1">
            <w:r w:rsidRPr="000B0D9C">
              <w:rPr>
                <w:rStyle w:val="Hyperlink"/>
                <w:noProof/>
              </w:rPr>
              <w:t>Implementation of MAQ Compliance Measures – Schedule and Milestones</w:t>
            </w:r>
            <w:r>
              <w:rPr>
                <w:noProof/>
                <w:webHidden/>
              </w:rPr>
              <w:tab/>
            </w:r>
            <w:r>
              <w:rPr>
                <w:noProof/>
                <w:webHidden/>
              </w:rPr>
              <w:fldChar w:fldCharType="begin"/>
            </w:r>
            <w:r>
              <w:rPr>
                <w:noProof/>
                <w:webHidden/>
              </w:rPr>
              <w:instrText xml:space="preserve"> PAGEREF _Toc188448200 \h </w:instrText>
            </w:r>
            <w:r>
              <w:rPr>
                <w:noProof/>
                <w:webHidden/>
              </w:rPr>
            </w:r>
            <w:r>
              <w:rPr>
                <w:noProof/>
                <w:webHidden/>
              </w:rPr>
              <w:fldChar w:fldCharType="separate"/>
            </w:r>
            <w:r>
              <w:rPr>
                <w:noProof/>
                <w:webHidden/>
              </w:rPr>
              <w:t>9</w:t>
            </w:r>
            <w:r>
              <w:rPr>
                <w:noProof/>
                <w:webHidden/>
              </w:rPr>
              <w:fldChar w:fldCharType="end"/>
            </w:r>
          </w:hyperlink>
        </w:p>
        <w:p w14:paraId="08FB7F56" w14:textId="2A876D06" w:rsidR="00C63889" w:rsidRDefault="00C63889">
          <w:pPr>
            <w:pStyle w:val="TOC2"/>
            <w:tabs>
              <w:tab w:val="right" w:leader="dot" w:pos="9350"/>
            </w:tabs>
            <w:rPr>
              <w:rFonts w:asciiTheme="minorHAnsi" w:eastAsiaTheme="minorEastAsia" w:hAnsiTheme="minorHAnsi" w:cstheme="minorBidi"/>
              <w:bCs w:val="0"/>
              <w:noProof/>
              <w:sz w:val="24"/>
              <w:szCs w:val="24"/>
            </w:rPr>
          </w:pPr>
          <w:hyperlink w:anchor="_Toc188448201" w:history="1">
            <w:r w:rsidRPr="000B0D9C">
              <w:rPr>
                <w:rStyle w:val="Hyperlink"/>
                <w:noProof/>
              </w:rPr>
              <w:t>Maintaining MAQ Compliance – Review and Enforcement</w:t>
            </w:r>
            <w:r>
              <w:rPr>
                <w:noProof/>
                <w:webHidden/>
              </w:rPr>
              <w:tab/>
            </w:r>
            <w:r>
              <w:rPr>
                <w:noProof/>
                <w:webHidden/>
              </w:rPr>
              <w:fldChar w:fldCharType="begin"/>
            </w:r>
            <w:r>
              <w:rPr>
                <w:noProof/>
                <w:webHidden/>
              </w:rPr>
              <w:instrText xml:space="preserve"> PAGEREF _Toc188448201 \h </w:instrText>
            </w:r>
            <w:r>
              <w:rPr>
                <w:noProof/>
                <w:webHidden/>
              </w:rPr>
            </w:r>
            <w:r>
              <w:rPr>
                <w:noProof/>
                <w:webHidden/>
              </w:rPr>
              <w:fldChar w:fldCharType="separate"/>
            </w:r>
            <w:r>
              <w:rPr>
                <w:noProof/>
                <w:webHidden/>
              </w:rPr>
              <w:t>12</w:t>
            </w:r>
            <w:r>
              <w:rPr>
                <w:noProof/>
                <w:webHidden/>
              </w:rPr>
              <w:fldChar w:fldCharType="end"/>
            </w:r>
          </w:hyperlink>
        </w:p>
        <w:p w14:paraId="440C55EF" w14:textId="63450A72" w:rsidR="00781C6E" w:rsidRPr="00781C6E" w:rsidRDefault="00DF09D0" w:rsidP="00DF09D0">
          <w:pPr>
            <w:pStyle w:val="TOCHeading"/>
            <w:spacing w:before="120"/>
            <w:rPr>
              <w:rFonts w:cs="Arial"/>
              <w:b w:val="0"/>
              <w:bCs w:val="0"/>
              <w:noProof/>
            </w:rPr>
          </w:pPr>
          <w:r>
            <w:rPr>
              <w:iCs/>
              <w:sz w:val="24"/>
              <w:szCs w:val="24"/>
            </w:rPr>
            <w:fldChar w:fldCharType="end"/>
          </w:r>
        </w:p>
      </w:sdtContent>
    </w:sdt>
    <w:p w14:paraId="2BAFE00A" w14:textId="78140343" w:rsidR="00781C6E" w:rsidRDefault="00781C6E">
      <w:pPr>
        <w:spacing w:after="160" w:line="259" w:lineRule="auto"/>
        <w:rPr>
          <w:rFonts w:eastAsiaTheme="majorEastAsia"/>
          <w:color w:val="1295D8"/>
          <w:sz w:val="48"/>
          <w:szCs w:val="40"/>
        </w:rPr>
      </w:pPr>
    </w:p>
    <w:p w14:paraId="4E550C85" w14:textId="77777777" w:rsidR="00DF09D0" w:rsidRDefault="00DF09D0" w:rsidP="00781C6E">
      <w:pPr>
        <w:pStyle w:val="Heading1"/>
        <w:spacing w:before="480"/>
        <w:jc w:val="left"/>
        <w:rPr>
          <w:rFonts w:cs="Arial"/>
        </w:rPr>
      </w:pPr>
      <w:r>
        <w:rPr>
          <w:rFonts w:cs="Arial"/>
        </w:rPr>
        <w:br w:type="page"/>
      </w:r>
    </w:p>
    <w:p w14:paraId="32F41AB3" w14:textId="511C8632" w:rsidR="00361936" w:rsidRPr="007F25CF" w:rsidRDefault="007F25CF" w:rsidP="00781C6E">
      <w:pPr>
        <w:pStyle w:val="Heading1"/>
        <w:spacing w:before="480"/>
        <w:jc w:val="left"/>
        <w:rPr>
          <w:rFonts w:cs="Arial"/>
        </w:rPr>
      </w:pPr>
      <w:bookmarkStart w:id="1" w:name="_Toc188448191"/>
      <w:r w:rsidRPr="007F25CF">
        <w:rPr>
          <w:rFonts w:cs="Arial"/>
        </w:rPr>
        <w:lastRenderedPageBreak/>
        <w:t>MAQ Management Plan Template</w:t>
      </w:r>
      <w:bookmarkEnd w:id="1"/>
    </w:p>
    <w:p w14:paraId="0CF54646" w14:textId="33E0926B" w:rsidR="00C027D7" w:rsidRPr="00C027D7" w:rsidRDefault="003928EA" w:rsidP="00C027D7">
      <w:pPr>
        <w:rPr>
          <w:b/>
          <w:bCs/>
        </w:rPr>
      </w:pPr>
      <w:r w:rsidRPr="00F55A75">
        <w:rPr>
          <w:b/>
          <w:bCs/>
        </w:rPr>
        <w:t>Location: UC xx</w:t>
      </w:r>
      <w:r w:rsidR="00BB5D8F" w:rsidRPr="00F55A75">
        <w:rPr>
          <w:b/>
          <w:bCs/>
        </w:rPr>
        <w:br/>
        <w:t xml:space="preserve">Date: </w:t>
      </w:r>
      <w:r w:rsidR="00307ED1" w:rsidRPr="00F55A75">
        <w:rPr>
          <w:b/>
          <w:bCs/>
        </w:rPr>
        <w:t>January</w:t>
      </w:r>
      <w:r w:rsidR="00901650" w:rsidRPr="00F55A75">
        <w:rPr>
          <w:b/>
          <w:bCs/>
        </w:rPr>
        <w:t xml:space="preserve"> 1, </w:t>
      </w:r>
      <w:r w:rsidR="00AC5B06" w:rsidRPr="00F55A75">
        <w:rPr>
          <w:b/>
          <w:bCs/>
        </w:rPr>
        <w:t>2027</w:t>
      </w:r>
    </w:p>
    <w:p w14:paraId="19B7EE5C" w14:textId="6CEAF63C" w:rsidR="0000411F" w:rsidRPr="005B56DA" w:rsidRDefault="0000411F" w:rsidP="0006762B">
      <w:pPr>
        <w:pStyle w:val="Heading2"/>
      </w:pPr>
      <w:bookmarkStart w:id="2" w:name="_Toc188448192"/>
      <w:r w:rsidRPr="005B56DA">
        <w:t>Executive Summary</w:t>
      </w:r>
      <w:bookmarkEnd w:id="2"/>
    </w:p>
    <w:p w14:paraId="54980471" w14:textId="3B7B7BA0" w:rsidR="000102D7" w:rsidRPr="0006762B" w:rsidRDefault="0000411F" w:rsidP="0006762B">
      <w:r w:rsidRPr="0006762B">
        <w:t xml:space="preserve">All </w:t>
      </w:r>
      <w:r w:rsidR="006D6446" w:rsidRPr="0006762B">
        <w:t xml:space="preserve">new and existing </w:t>
      </w:r>
      <w:r w:rsidRPr="0006762B">
        <w:t>UC xx buildings shall comply with the Hazardous Materials Provisions of the California Fire Code (CFC).</w:t>
      </w:r>
      <w:r w:rsidR="009C4D57" w:rsidRPr="0006762B">
        <w:t xml:space="preserve"> This plan outlines steps towards achieving and maintaining compliance with Maximum Allowable Quantities (MAQs).</w:t>
      </w:r>
    </w:p>
    <w:p w14:paraId="43E3019A" w14:textId="77777777" w:rsidR="000102D7" w:rsidRPr="005B56DA" w:rsidRDefault="000102D7" w:rsidP="0006762B">
      <w:pPr>
        <w:pStyle w:val="Heading2"/>
      </w:pPr>
      <w:bookmarkStart w:id="3" w:name="_Toc188448193"/>
      <w:r w:rsidRPr="005B56DA">
        <w:t>Purpose</w:t>
      </w:r>
      <w:bookmarkEnd w:id="3"/>
    </w:p>
    <w:p w14:paraId="06B83F5B" w14:textId="05B94314" w:rsidR="0049540C" w:rsidRPr="005B56DA" w:rsidRDefault="00A429F4" w:rsidP="0006762B">
      <w:r w:rsidRPr="005B56DA">
        <w:t>Th</w:t>
      </w:r>
      <w:r w:rsidR="006D6446" w:rsidRPr="005B56DA">
        <w:t xml:space="preserve">is </w:t>
      </w:r>
      <w:r w:rsidRPr="005B56DA">
        <w:t>plan describe</w:t>
      </w:r>
      <w:r w:rsidR="006D6446" w:rsidRPr="005B56DA">
        <w:t>s</w:t>
      </w:r>
      <w:r w:rsidRPr="005B56DA">
        <w:t xml:space="preserve"> procedures and controls for</w:t>
      </w:r>
      <w:r w:rsidR="00A84B16" w:rsidRPr="005B56DA">
        <w:t xml:space="preserve"> </w:t>
      </w:r>
      <w:r w:rsidR="00D347A1" w:rsidRPr="005B56DA">
        <w:t xml:space="preserve">UC xx buildings </w:t>
      </w:r>
      <w:r w:rsidRPr="005B56DA">
        <w:t xml:space="preserve">to ensure that </w:t>
      </w:r>
      <w:r w:rsidR="00D347A1" w:rsidRPr="005B56DA">
        <w:t>the storage of hazardous chemicals (</w:t>
      </w:r>
      <w:r w:rsidR="00D47E4F" w:rsidRPr="005B56DA">
        <w:t>commonly referred to</w:t>
      </w:r>
      <w:r w:rsidR="00D347A1" w:rsidRPr="005B56DA">
        <w:t xml:space="preserve"> as </w:t>
      </w:r>
      <w:r w:rsidR="00D47E4F" w:rsidRPr="005B56DA">
        <w:t>“</w:t>
      </w:r>
      <w:r w:rsidR="00D347A1" w:rsidRPr="005B56DA">
        <w:t>hazardous materials</w:t>
      </w:r>
      <w:r w:rsidR="00D47E4F" w:rsidRPr="005B56DA">
        <w:t>”</w:t>
      </w:r>
      <w:r w:rsidR="00D347A1" w:rsidRPr="005B56DA">
        <w:t>)</w:t>
      </w:r>
      <w:r w:rsidRPr="005B56DA">
        <w:t xml:space="preserve"> do not exceed </w:t>
      </w:r>
      <w:r w:rsidR="00D347A1" w:rsidRPr="005B56DA">
        <w:t>applicable</w:t>
      </w:r>
      <w:r w:rsidRPr="005B56DA">
        <w:t xml:space="preserve"> Maximum Allowable Quantities (MAQs) outlined in the</w:t>
      </w:r>
      <w:r w:rsidR="00D347A1" w:rsidRPr="005B56DA">
        <w:t xml:space="preserve"> Hazardous Materials Provisions of the</w:t>
      </w:r>
      <w:r w:rsidRPr="005B56DA">
        <w:t xml:space="preserve"> California Fire Code (CFC)</w:t>
      </w:r>
      <w:r w:rsidR="00671870" w:rsidRPr="005B56DA">
        <w:t xml:space="preserve"> and </w:t>
      </w:r>
      <w:r w:rsidRPr="005B56DA">
        <w:t>the California Building Code (CBC)</w:t>
      </w:r>
      <w:r w:rsidR="006D6446" w:rsidRPr="005B56DA">
        <w:t xml:space="preserve">. </w:t>
      </w:r>
      <w:r w:rsidR="00A84B16" w:rsidRPr="005B56DA">
        <w:t xml:space="preserve">MAQs apply to the storage, use and handling of all hazardous materials. </w:t>
      </w:r>
      <w:r w:rsidR="008E210D" w:rsidRPr="005B56DA">
        <w:t xml:space="preserve">While </w:t>
      </w:r>
      <w:r w:rsidRPr="005B56DA">
        <w:t xml:space="preserve">these MAQs are </w:t>
      </w:r>
      <w:r w:rsidR="008E210D" w:rsidRPr="005B56DA">
        <w:t xml:space="preserve">not new, President Drake issued a mandate </w:t>
      </w:r>
      <w:r w:rsidR="00AC4FD9" w:rsidRPr="005B56DA">
        <w:t>outlining measures to support</w:t>
      </w:r>
      <w:r w:rsidR="008E210D" w:rsidRPr="005B56DA">
        <w:t xml:space="preserve"> UC campuses </w:t>
      </w:r>
      <w:r w:rsidRPr="005B56DA">
        <w:t xml:space="preserve">to obtain compliant </w:t>
      </w:r>
      <w:r w:rsidR="008E210D" w:rsidRPr="005B56DA">
        <w:t>storage</w:t>
      </w:r>
      <w:r w:rsidRPr="005B56DA">
        <w:t xml:space="preserve"> </w:t>
      </w:r>
      <w:r w:rsidR="008E210D" w:rsidRPr="005B56DA">
        <w:t xml:space="preserve">of </w:t>
      </w:r>
      <w:r w:rsidRPr="005B56DA">
        <w:t xml:space="preserve">hazardous </w:t>
      </w:r>
      <w:r w:rsidR="008E210D" w:rsidRPr="005B56DA">
        <w:t>chemicals</w:t>
      </w:r>
      <w:r w:rsidR="002B10D9" w:rsidRPr="005B56DA">
        <w:t xml:space="preserve"> by 2030</w:t>
      </w:r>
      <w:r w:rsidR="008E210D" w:rsidRPr="005B56DA">
        <w:t xml:space="preserve">. This </w:t>
      </w:r>
      <w:r w:rsidR="00D347A1" w:rsidRPr="005B56DA">
        <w:t xml:space="preserve">plan </w:t>
      </w:r>
      <w:r w:rsidR="008E210D" w:rsidRPr="005B56DA">
        <w:t xml:space="preserve">applies to new and existing buildings </w:t>
      </w:r>
      <w:r w:rsidR="00D347A1" w:rsidRPr="005B56DA">
        <w:t xml:space="preserve">that </w:t>
      </w:r>
      <w:r w:rsidR="008E210D" w:rsidRPr="005B56DA">
        <w:t>store, use</w:t>
      </w:r>
      <w:r w:rsidR="00D47E4F" w:rsidRPr="005B56DA">
        <w:t>,</w:t>
      </w:r>
      <w:r w:rsidR="008E210D" w:rsidRPr="005B56DA">
        <w:t xml:space="preserve"> and dispense hazardous materials. </w:t>
      </w:r>
    </w:p>
    <w:p w14:paraId="22CA31F8" w14:textId="0D243A9B" w:rsidR="009C4D57" w:rsidRPr="005B56DA" w:rsidRDefault="002B10D9" w:rsidP="0006762B">
      <w:r w:rsidRPr="005B56DA">
        <w:t xml:space="preserve">This plan outlines </w:t>
      </w:r>
      <w:r w:rsidR="00E76B8A" w:rsidRPr="005B56DA">
        <w:t xml:space="preserve">the </w:t>
      </w:r>
      <w:proofErr w:type="gramStart"/>
      <w:r w:rsidR="00E76B8A" w:rsidRPr="005B56DA">
        <w:t>current s</w:t>
      </w:r>
      <w:r w:rsidRPr="005B56DA">
        <w:t>tatus</w:t>
      </w:r>
      <w:proofErr w:type="gramEnd"/>
      <w:r w:rsidRPr="005B56DA">
        <w:t xml:space="preserve"> of MAQ Compliance</w:t>
      </w:r>
      <w:r w:rsidR="00683A0A" w:rsidRPr="005B56DA">
        <w:t xml:space="preserve"> at xx location.  Roles and </w:t>
      </w:r>
      <w:r w:rsidR="001727BB" w:rsidRPr="005B56DA">
        <w:t>Responsibilities</w:t>
      </w:r>
      <w:r w:rsidR="00683A0A" w:rsidRPr="005B56DA">
        <w:t xml:space="preserve"> for achieving and maintaining compliance </w:t>
      </w:r>
      <w:r w:rsidR="001508C9" w:rsidRPr="005B56DA">
        <w:t>are</w:t>
      </w:r>
      <w:r w:rsidR="00683A0A" w:rsidRPr="005B56DA">
        <w:t xml:space="preserve"> defined. MAQ Compliance Strategies </w:t>
      </w:r>
      <w:r w:rsidR="001508C9" w:rsidRPr="005B56DA">
        <w:t>are</w:t>
      </w:r>
      <w:r w:rsidR="00683A0A" w:rsidRPr="005B56DA">
        <w:t xml:space="preserve"> identified and a Training Plan for campus stakeholders </w:t>
      </w:r>
      <w:r w:rsidR="001508C9" w:rsidRPr="005B56DA">
        <w:t>is</w:t>
      </w:r>
      <w:r w:rsidR="00683A0A" w:rsidRPr="005B56DA">
        <w:t xml:space="preserve"> outlined. Corrective actions and a Funding Plan </w:t>
      </w:r>
      <w:r w:rsidR="001508C9" w:rsidRPr="005B56DA">
        <w:t>are</w:t>
      </w:r>
      <w:r w:rsidR="00683A0A" w:rsidRPr="005B56DA">
        <w:t xml:space="preserve"> clearly established. A Schedule with Milestones </w:t>
      </w:r>
      <w:r w:rsidRPr="005B56DA">
        <w:t>for achieving compliance by 2030</w:t>
      </w:r>
      <w:r w:rsidR="00683A0A" w:rsidRPr="005B56DA">
        <w:t xml:space="preserve"> </w:t>
      </w:r>
      <w:r w:rsidR="001508C9" w:rsidRPr="005B56DA">
        <w:t>is</w:t>
      </w:r>
      <w:r w:rsidR="00683A0A" w:rsidRPr="005B56DA">
        <w:t xml:space="preserve"> identified as part of the Implementation Plan. Methods for Maintaining MAQ Compliance</w:t>
      </w:r>
      <w:r w:rsidR="001508C9" w:rsidRPr="005B56DA">
        <w:t xml:space="preserve"> ar</w:t>
      </w:r>
      <w:r w:rsidR="00683A0A" w:rsidRPr="005B56DA">
        <w:t xml:space="preserve">e clarified. </w:t>
      </w:r>
      <w:r w:rsidRPr="005B56DA">
        <w:t xml:space="preserve"> Higher risk areas are identified and will be prioritized </w:t>
      </w:r>
      <w:r w:rsidR="00362A88" w:rsidRPr="005B56DA">
        <w:t>for corrective action.</w:t>
      </w:r>
    </w:p>
    <w:p w14:paraId="0CAB76A8" w14:textId="77777777" w:rsidR="000102D7" w:rsidRPr="005B56DA" w:rsidRDefault="000102D7" w:rsidP="0006762B">
      <w:pPr>
        <w:pStyle w:val="Heading2"/>
      </w:pPr>
      <w:bookmarkStart w:id="4" w:name="_Toc188448194"/>
      <w:r w:rsidRPr="005B56DA">
        <w:t>Background</w:t>
      </w:r>
      <w:bookmarkEnd w:id="4"/>
    </w:p>
    <w:p w14:paraId="03B9D518" w14:textId="649CBBC7" w:rsidR="008E210D" w:rsidRPr="005B56DA" w:rsidRDefault="008E210D" w:rsidP="0006762B">
      <w:r w:rsidRPr="005B56DA">
        <w:t xml:space="preserve">On December 15, 2023, President Drake issued a directive for all UC locations to </w:t>
      </w:r>
      <w:r w:rsidR="00AC4FD9" w:rsidRPr="005B56DA">
        <w:t>implement the measures</w:t>
      </w:r>
      <w:r w:rsidRPr="005B56DA">
        <w:t xml:space="preserve"> outlined in the MAQ Taskforce Report and Recommendations</w:t>
      </w:r>
      <w:r w:rsidR="00C85574" w:rsidRPr="005B56DA">
        <w:t xml:space="preserve">. </w:t>
      </w:r>
      <w:r w:rsidRPr="005B56DA">
        <w:t xml:space="preserve">The CFC is the primary regulation governing the safe storage and use of hazardous materials inside or outside </w:t>
      </w:r>
      <w:r w:rsidR="001727BB" w:rsidRPr="005B56DA">
        <w:t xml:space="preserve">of </w:t>
      </w:r>
      <w:r w:rsidRPr="005B56DA">
        <w:t>buildings. The hazardous materials provisions of the CFC establish the minimum requirements for providing a reasonable level of life safety and property protection from the hazards of fire, explosion, or dangerous conditions for building occupants</w:t>
      </w:r>
      <w:r w:rsidR="00C85574" w:rsidRPr="005B56DA">
        <w:t xml:space="preserve"> and first responders</w:t>
      </w:r>
      <w:r w:rsidRPr="005B56DA">
        <w:t>. The CFC defines specific upper limits or Maximum Allowable Quantities for hazardous materials based on several determining factors. Some factors are based on properties of the hazardous material (e.g., physical state, hazard class), while other factors are based on storage methods and construction type (e.g., cabinet storage, fire sprinkler status, occupancy, floor level).</w:t>
      </w:r>
    </w:p>
    <w:p w14:paraId="0903FCC9" w14:textId="7B6DD917" w:rsidR="00362A88" w:rsidRPr="00C359B7" w:rsidRDefault="008E210D" w:rsidP="0006762B">
      <w:r w:rsidRPr="005B56DA">
        <w:lastRenderedPageBreak/>
        <w:t xml:space="preserve">UC xx, </w:t>
      </w:r>
      <w:r w:rsidR="00BB641B" w:rsidRPr="005B56DA">
        <w:t>with state owned an</w:t>
      </w:r>
      <w:r w:rsidR="00E91011" w:rsidRPr="005B56DA">
        <w:t>d</w:t>
      </w:r>
      <w:r w:rsidR="00BB641B" w:rsidRPr="005B56DA">
        <w:t xml:space="preserve"> occupied buildings</w:t>
      </w:r>
      <w:r w:rsidRPr="005B56DA">
        <w:t xml:space="preserve">, is required to comply with the hazardous materials provisions of the CFC and CBC. The </w:t>
      </w:r>
      <w:r w:rsidR="00006CD7" w:rsidRPr="005B56DA">
        <w:t xml:space="preserve">Designated </w:t>
      </w:r>
      <w:r w:rsidRPr="005B56DA">
        <w:t xml:space="preserve">Campus Fire Marshal has the authority to enforce these requirements on campus property. </w:t>
      </w:r>
    </w:p>
    <w:p w14:paraId="62051B61" w14:textId="4C558CB6" w:rsidR="0000411F" w:rsidRPr="005B56DA" w:rsidRDefault="0000411F" w:rsidP="0006762B">
      <w:pPr>
        <w:pStyle w:val="Heading2"/>
      </w:pPr>
      <w:bookmarkStart w:id="5" w:name="_Toc188448195"/>
      <w:r w:rsidRPr="005B56DA">
        <w:t>Roles and Responsibilities</w:t>
      </w:r>
      <w:bookmarkEnd w:id="5"/>
      <w:r w:rsidRPr="005B56DA">
        <w:t xml:space="preserve"> </w:t>
      </w:r>
    </w:p>
    <w:p w14:paraId="2C280E4E" w14:textId="65875E35" w:rsidR="00422F68" w:rsidRPr="005B56DA" w:rsidRDefault="00610739" w:rsidP="00F55A75">
      <w:pPr>
        <w:pStyle w:val="Heading3"/>
      </w:pPr>
      <w:r w:rsidRPr="005B56DA">
        <w:t xml:space="preserve">Designated </w:t>
      </w:r>
      <w:r w:rsidR="0000411F" w:rsidRPr="005B56DA">
        <w:t>Campus Fire Marshal</w:t>
      </w:r>
      <w:r w:rsidR="00863A1C" w:rsidRPr="005B56DA">
        <w:t xml:space="preserve"> </w:t>
      </w:r>
    </w:p>
    <w:p w14:paraId="78F84D6C" w14:textId="62514E5B" w:rsidR="0000411F" w:rsidRPr="005B56DA" w:rsidRDefault="00422F68" w:rsidP="0006762B">
      <w:r w:rsidRPr="005B56DA">
        <w:t xml:space="preserve">The </w:t>
      </w:r>
      <w:r w:rsidR="00610739" w:rsidRPr="005B56DA">
        <w:t xml:space="preserve">Designated </w:t>
      </w:r>
      <w:r w:rsidRPr="005B56DA">
        <w:t>Campus Fire Marshal (</w:t>
      </w:r>
      <w:r w:rsidR="00610739" w:rsidRPr="005B56DA">
        <w:t>D</w:t>
      </w:r>
      <w:r w:rsidRPr="005B56DA">
        <w:t xml:space="preserve">CFM) and their </w:t>
      </w:r>
      <w:r w:rsidR="00BE534D" w:rsidRPr="005B56DA">
        <w:t>authorized representatives</w:t>
      </w:r>
      <w:r w:rsidRPr="005B56DA">
        <w:t xml:space="preserve"> have the authority to enforce the CFC and CB</w:t>
      </w:r>
      <w:r w:rsidR="00ED17B4" w:rsidRPr="005B56DA">
        <w:t>C</w:t>
      </w:r>
      <w:r w:rsidRPr="005B56DA">
        <w:t xml:space="preserve"> on all campus owned and occupied buildings</w:t>
      </w:r>
      <w:r w:rsidR="00D11729" w:rsidRPr="005B56DA">
        <w:t>.</w:t>
      </w:r>
      <w:r w:rsidR="005E4D4C" w:rsidRPr="005B56DA">
        <w:t xml:space="preserve"> </w:t>
      </w:r>
      <w:r w:rsidRPr="005B56DA">
        <w:t>They are responsible for identifying control areas, laboratory suites, and other occupancies for all UC xx buildings. They will collaborate with campus partners to identify areas where MAQs have been exceeded</w:t>
      </w:r>
      <w:r w:rsidR="009D0230" w:rsidRPr="005B56DA">
        <w:t xml:space="preserve">. </w:t>
      </w:r>
      <w:r w:rsidR="00610739" w:rsidRPr="005B56DA">
        <w:t>D</w:t>
      </w:r>
      <w:r w:rsidR="009D0230" w:rsidRPr="005B56DA">
        <w:t>CFMs can advise users on appropriate solutions to achieving and maintaining MAQ compliance</w:t>
      </w:r>
      <w:r w:rsidRPr="005B56DA">
        <w:t xml:space="preserve">. </w:t>
      </w:r>
      <w:r w:rsidR="00ED17B4" w:rsidRPr="005B56DA">
        <w:t xml:space="preserve">Construction designers and project managers must consult with </w:t>
      </w:r>
      <w:r w:rsidR="00610739" w:rsidRPr="005B56DA">
        <w:t>D</w:t>
      </w:r>
      <w:r w:rsidR="00ED17B4" w:rsidRPr="005B56DA">
        <w:t xml:space="preserve">CFMs in early phases of construction planning if hazardous materials will be stored or used in a new or existing building. </w:t>
      </w:r>
      <w:r w:rsidR="00610739" w:rsidRPr="005B56DA">
        <w:t>D</w:t>
      </w:r>
      <w:r w:rsidR="00ED17B4" w:rsidRPr="005B56DA">
        <w:t xml:space="preserve">CFMs can </w:t>
      </w:r>
      <w:r w:rsidR="009D0230" w:rsidRPr="005B56DA">
        <w:t>provide guidance</w:t>
      </w:r>
      <w:r w:rsidR="00ED17B4" w:rsidRPr="005B56DA">
        <w:t xml:space="preserve"> on a</w:t>
      </w:r>
      <w:r w:rsidR="009D0230" w:rsidRPr="005B56DA">
        <w:t>cceptable</w:t>
      </w:r>
      <w:r w:rsidR="00ED17B4" w:rsidRPr="005B56DA">
        <w:t xml:space="preserve"> designs for proposed building usage. Solutions for achieving MAQ </w:t>
      </w:r>
      <w:r w:rsidR="00610739" w:rsidRPr="005B56DA">
        <w:t>c</w:t>
      </w:r>
      <w:r w:rsidR="00ED17B4" w:rsidRPr="005B56DA">
        <w:t xml:space="preserve">ompliance must be approved by the </w:t>
      </w:r>
      <w:r w:rsidR="00610739" w:rsidRPr="005B56DA">
        <w:t>D</w:t>
      </w:r>
      <w:r w:rsidR="00ED17B4" w:rsidRPr="005B56DA">
        <w:t>CFM.</w:t>
      </w:r>
    </w:p>
    <w:p w14:paraId="68BF2BBB" w14:textId="5496B915" w:rsidR="0000411F" w:rsidRPr="005B56DA" w:rsidRDefault="0000411F" w:rsidP="00F55A75">
      <w:pPr>
        <w:pStyle w:val="Heading3"/>
      </w:pPr>
      <w:r w:rsidRPr="005B56DA">
        <w:t xml:space="preserve">Chemical </w:t>
      </w:r>
      <w:r w:rsidR="00F8503A" w:rsidRPr="005B56DA">
        <w:t>I</w:t>
      </w:r>
      <w:r w:rsidRPr="005B56DA">
        <w:t xml:space="preserve">nventory </w:t>
      </w:r>
      <w:r w:rsidR="00F8503A" w:rsidRPr="005B56DA">
        <w:t>O</w:t>
      </w:r>
      <w:r w:rsidRPr="005B56DA">
        <w:t>wners</w:t>
      </w:r>
      <w:r w:rsidR="00F8503A" w:rsidRPr="005B56DA">
        <w:t xml:space="preserve"> (CIOs)</w:t>
      </w:r>
      <w:r w:rsidR="00222321" w:rsidRPr="005B56DA">
        <w:t>/</w:t>
      </w:r>
      <w:r w:rsidR="00F8503A" w:rsidRPr="005B56DA">
        <w:t>Faculty/</w:t>
      </w:r>
      <w:r w:rsidR="00222321" w:rsidRPr="005B56DA">
        <w:t>Researchers</w:t>
      </w:r>
    </w:p>
    <w:p w14:paraId="7AF68609" w14:textId="0B1E032C" w:rsidR="009D0230" w:rsidRPr="005B56DA" w:rsidRDefault="009D0230" w:rsidP="0006762B">
      <w:r w:rsidRPr="005B56DA">
        <w:t xml:space="preserve">MAQ limits impact researchers and other users of hazardous materials. These limits differ based upon specific building attributes. Many buildings are designed so that aggregate MAQ limits are shared among groups on the same floor or building. In other spaces, individual labs may </w:t>
      </w:r>
      <w:r w:rsidR="00DB2304" w:rsidRPr="005B56DA">
        <w:t xml:space="preserve">occupy a </w:t>
      </w:r>
      <w:r w:rsidRPr="005B56DA">
        <w:t xml:space="preserve">separate “control area” </w:t>
      </w:r>
      <w:r w:rsidR="00DB2304" w:rsidRPr="005B56DA">
        <w:t>relative to</w:t>
      </w:r>
      <w:r w:rsidRPr="005B56DA">
        <w:t xml:space="preserve"> neighboring lab</w:t>
      </w:r>
      <w:r w:rsidR="00610739" w:rsidRPr="005B56DA">
        <w:t>oratorie</w:t>
      </w:r>
      <w:r w:rsidRPr="005B56DA">
        <w:t xml:space="preserve">s. </w:t>
      </w:r>
    </w:p>
    <w:p w14:paraId="7C0DA17F" w14:textId="6A6A5FE8" w:rsidR="009D0230" w:rsidRPr="005B56DA" w:rsidRDefault="00A453D2" w:rsidP="0006762B">
      <w:r w:rsidRPr="005B56DA">
        <w:t xml:space="preserve">Researchers are responsible for complying with all hazardous materials provisions of the CFC, </w:t>
      </w:r>
      <w:proofErr w:type="gramStart"/>
      <w:r w:rsidRPr="005B56DA">
        <w:t>including:</w:t>
      </w:r>
      <w:proofErr w:type="gramEnd"/>
      <w:r w:rsidRPr="005B56DA">
        <w:t xml:space="preserve">  maintaining an accurate chemical inventory for spaces controlled by the group</w:t>
      </w:r>
      <w:r w:rsidR="00610739" w:rsidRPr="005B56DA">
        <w:t xml:space="preserve">; </w:t>
      </w:r>
      <w:r w:rsidRPr="005B56DA">
        <w:t>keeping all chemicals properly stored when not in use</w:t>
      </w:r>
      <w:r w:rsidR="00610739" w:rsidRPr="005B56DA">
        <w:t xml:space="preserve">; </w:t>
      </w:r>
      <w:r w:rsidRPr="005B56DA">
        <w:t xml:space="preserve">and staying below MAQs for all hazard categories. In some cases, researchers </w:t>
      </w:r>
      <w:r w:rsidR="009D0230" w:rsidRPr="005B56DA">
        <w:t xml:space="preserve">will need to reduce chemical quantities to be compliant with the </w:t>
      </w:r>
      <w:r w:rsidRPr="005B56DA">
        <w:t>CFC</w:t>
      </w:r>
      <w:r w:rsidR="009D0230" w:rsidRPr="005B56DA">
        <w:t>. Operationally, this could mean lab cleanouts and removal of older chemicals</w:t>
      </w:r>
      <w:r w:rsidR="00610739" w:rsidRPr="005B56DA">
        <w:t xml:space="preserve">; </w:t>
      </w:r>
      <w:r w:rsidR="009D0230" w:rsidRPr="005B56DA">
        <w:t>more frequent orders of common chemicals in smaller quantities (rather than bulk</w:t>
      </w:r>
      <w:r w:rsidR="00DB2304" w:rsidRPr="005B56DA">
        <w:t xml:space="preserve"> orders</w:t>
      </w:r>
      <w:r w:rsidR="00610739" w:rsidRPr="005B56DA">
        <w:t xml:space="preserve">); </w:t>
      </w:r>
      <w:r w:rsidR="009D0230" w:rsidRPr="005B56DA">
        <w:t xml:space="preserve">sharing common chemicals within </w:t>
      </w:r>
      <w:r w:rsidRPr="005B56DA">
        <w:t>groups</w:t>
      </w:r>
      <w:r w:rsidR="009D0230" w:rsidRPr="005B56DA">
        <w:t xml:space="preserve"> (rather than each researcher having their own container)</w:t>
      </w:r>
      <w:r w:rsidR="00610739" w:rsidRPr="005B56DA">
        <w:t>;</w:t>
      </w:r>
      <w:r w:rsidR="009D0230" w:rsidRPr="005B56DA">
        <w:t xml:space="preserve"> and reliance on stock rooms or re-use facilities for some chemicals. </w:t>
      </w:r>
      <w:r w:rsidRPr="005B56DA">
        <w:t xml:space="preserve"> EH&amp;S and </w:t>
      </w:r>
      <w:r w:rsidR="009A1D81" w:rsidRPr="005B56DA">
        <w:t>D</w:t>
      </w:r>
      <w:r w:rsidRPr="005B56DA">
        <w:t xml:space="preserve">CFMs can provide guidance on MAQ limits and potential solutions. </w:t>
      </w:r>
    </w:p>
    <w:p w14:paraId="50FDD5C7" w14:textId="5397FCC5" w:rsidR="00362A88" w:rsidRPr="005B56DA" w:rsidRDefault="00362A88" w:rsidP="00F55A75">
      <w:pPr>
        <w:pStyle w:val="Heading3"/>
      </w:pPr>
      <w:r w:rsidRPr="005B56DA">
        <w:t>Construction</w:t>
      </w:r>
      <w:r w:rsidR="001B6472" w:rsidRPr="005B56DA">
        <w:t>, Design,</w:t>
      </w:r>
      <w:r w:rsidRPr="005B56DA">
        <w:t xml:space="preserve"> and Planning</w:t>
      </w:r>
    </w:p>
    <w:p w14:paraId="7DC687D9" w14:textId="0DEE3A00" w:rsidR="001B6472" w:rsidRPr="005B56DA" w:rsidRDefault="001B6472" w:rsidP="0006762B">
      <w:r w:rsidRPr="005B56DA">
        <w:t xml:space="preserve">For all new projects (new building or </w:t>
      </w:r>
      <w:r w:rsidR="00F81CC0" w:rsidRPr="005B56DA">
        <w:t>t</w:t>
      </w:r>
      <w:r w:rsidRPr="005B56DA">
        <w:t xml:space="preserve">enant </w:t>
      </w:r>
      <w:r w:rsidR="00F81CC0" w:rsidRPr="005B56DA">
        <w:t>i</w:t>
      </w:r>
      <w:r w:rsidRPr="005B56DA">
        <w:t xml:space="preserve">mprovement project), </w:t>
      </w:r>
      <w:r w:rsidR="004D0417" w:rsidRPr="005B56DA">
        <w:t>Planners should inquire</w:t>
      </w:r>
      <w:r w:rsidRPr="005B56DA">
        <w:t xml:space="preserve"> whether any hazardous materials will be stored in the new space. Labs, shops, storage facilities, </w:t>
      </w:r>
      <w:r w:rsidR="00DB2304" w:rsidRPr="005B56DA">
        <w:t>buildings with</w:t>
      </w:r>
      <w:r w:rsidRPr="005B56DA">
        <w:t xml:space="preserve"> generators, research support buildings, energy storage</w:t>
      </w:r>
      <w:r w:rsidR="00DB2304" w:rsidRPr="005B56DA">
        <w:t xml:space="preserve"> locations</w:t>
      </w:r>
      <w:r w:rsidRPr="005B56DA">
        <w:t xml:space="preserve">, </w:t>
      </w:r>
      <w:r w:rsidR="00DB2304" w:rsidRPr="005B56DA">
        <w:t xml:space="preserve">and </w:t>
      </w:r>
      <w:r w:rsidRPr="005B56DA">
        <w:t>facilities supporting custodial or maintenance are some examples of spaces which may contain hazardous chemicals. </w:t>
      </w:r>
    </w:p>
    <w:p w14:paraId="2C06B6C0" w14:textId="7B6D0882" w:rsidR="001B6472" w:rsidRPr="005B56DA" w:rsidRDefault="001B6472" w:rsidP="0006762B">
      <w:r w:rsidRPr="005B56DA">
        <w:t xml:space="preserve">In the earliest planning phases, </w:t>
      </w:r>
      <w:r w:rsidR="004D0417" w:rsidRPr="005B56DA">
        <w:t xml:space="preserve">Construction Planners and Designers must </w:t>
      </w:r>
      <w:r w:rsidRPr="005B56DA">
        <w:t xml:space="preserve">discuss any planned chemical storage with </w:t>
      </w:r>
      <w:r w:rsidR="004D0417" w:rsidRPr="005B56DA">
        <w:t xml:space="preserve">the </w:t>
      </w:r>
      <w:r w:rsidR="009A1D81" w:rsidRPr="005B56DA">
        <w:t>D</w:t>
      </w:r>
      <w:r w:rsidR="004D0417" w:rsidRPr="005B56DA">
        <w:t>CFM</w:t>
      </w:r>
      <w:r w:rsidRPr="005B56DA">
        <w:t xml:space="preserve">. </w:t>
      </w:r>
      <w:r w:rsidR="009A1D81" w:rsidRPr="005B56DA">
        <w:t>D</w:t>
      </w:r>
      <w:r w:rsidR="004D0417" w:rsidRPr="005B56DA">
        <w:t>CFMs</w:t>
      </w:r>
      <w:r w:rsidRPr="005B56DA">
        <w:t xml:space="preserve"> can provide guidance on the most appropriate type of </w:t>
      </w:r>
      <w:r w:rsidRPr="005B56DA">
        <w:lastRenderedPageBreak/>
        <w:t xml:space="preserve">building and/or occupancy type for planned chemical usage. Hazardous Materials Inventory Statements (HMISs) will be required prior to submittal of new projects.  </w:t>
      </w:r>
    </w:p>
    <w:p w14:paraId="3CCA8545" w14:textId="1CDB4C1E" w:rsidR="0071090A" w:rsidRPr="005B56DA" w:rsidRDefault="0071090A" w:rsidP="0006762B">
      <w:r w:rsidRPr="005B56DA">
        <w:t>For those responsible for assigning spaces to new faculty or researchers, it is prudent to discuss the limitations of that space with EH&amp;S or the DCFM prior to space assignments. For example, synthetic chemistry research or users of toxic gases will be severely restricted on upper floors of most buildings.</w:t>
      </w:r>
    </w:p>
    <w:p w14:paraId="08FD9CBF" w14:textId="77777777" w:rsidR="0000411F" w:rsidRPr="005B56DA" w:rsidRDefault="0000411F" w:rsidP="00F55A75">
      <w:pPr>
        <w:pStyle w:val="Heading3"/>
      </w:pPr>
      <w:r w:rsidRPr="005B56DA">
        <w:t>Deans/Department Chairs</w:t>
      </w:r>
    </w:p>
    <w:p w14:paraId="730A3DD9" w14:textId="05DC370D" w:rsidR="00EE0916" w:rsidRPr="005B56DA" w:rsidRDefault="00034829" w:rsidP="0006762B">
      <w:r w:rsidRPr="005B56DA">
        <w:t xml:space="preserve">Deans and Department Chairs, particularly for research areas conducting laboratory research, play a crucial role in supporting safe and compliant environments for faculty and researchers. These leaders should have a good understanding of the MAQ issue within their </w:t>
      </w:r>
      <w:proofErr w:type="gramStart"/>
      <w:r w:rsidRPr="005B56DA">
        <w:t>particular buildings</w:t>
      </w:r>
      <w:proofErr w:type="gramEnd"/>
      <w:r w:rsidRPr="005B56DA">
        <w:t>. Deans and Departmental Chairs may need to facilitate c</w:t>
      </w:r>
      <w:r w:rsidR="005E4D4C" w:rsidRPr="005B56DA">
        <w:t xml:space="preserve">ommunication </w:t>
      </w:r>
      <w:r w:rsidRPr="005B56DA">
        <w:t xml:space="preserve">among research groups within shared spaces and for heavy chemical users. </w:t>
      </w:r>
      <w:r w:rsidR="005C28F8" w:rsidRPr="005B56DA">
        <w:t xml:space="preserve">They will collaborate closely with their Department Safety Coordinators and Building Managers. </w:t>
      </w:r>
    </w:p>
    <w:p w14:paraId="410E2AAD" w14:textId="0115930C" w:rsidR="0071090A" w:rsidRPr="005B56DA" w:rsidRDefault="0071090A" w:rsidP="0006762B">
      <w:pPr>
        <w:rPr>
          <w:b/>
          <w:bCs/>
        </w:rPr>
      </w:pPr>
      <w:r w:rsidRPr="005B56DA">
        <w:t>For those responsible for assigning spaces to new faculty or researchers, it is prudent to discuss the limitations of that space with EH&amp;S or the DCFM prior to space assignments. For example, synthetic chemistry research or users of toxic gases will be severely restricted on upper floors of most buildings.</w:t>
      </w:r>
    </w:p>
    <w:p w14:paraId="61703BE0" w14:textId="6B703169" w:rsidR="00BB641B" w:rsidRPr="005B56DA" w:rsidRDefault="00BB641B" w:rsidP="00F55A75">
      <w:pPr>
        <w:pStyle w:val="Heading3"/>
      </w:pPr>
      <w:r w:rsidRPr="005B56DA">
        <w:t>Department Safety Coordinators</w:t>
      </w:r>
      <w:r w:rsidR="005C28F8" w:rsidRPr="005B56DA">
        <w:t xml:space="preserve"> (DSCs)</w:t>
      </w:r>
      <w:r w:rsidR="009D0230" w:rsidRPr="005B56DA">
        <w:t>/</w:t>
      </w:r>
      <w:r w:rsidR="00863A1C" w:rsidRPr="005B56DA">
        <w:t xml:space="preserve">Building Managers </w:t>
      </w:r>
    </w:p>
    <w:p w14:paraId="77094940" w14:textId="62E38968" w:rsidR="005C28F8" w:rsidRPr="005B56DA" w:rsidRDefault="005C28F8" w:rsidP="0006762B">
      <w:r w:rsidRPr="005B56DA">
        <w:t xml:space="preserve">DSCs and Building Managers are intimately familiar with their building infrastructure and the chemical inventory owners occupying their buildings. They play a critical role in facilitating MAQ compliance. </w:t>
      </w:r>
      <w:r w:rsidR="00F8503A" w:rsidRPr="005B56DA">
        <w:t xml:space="preserve">They may work closely with both the </w:t>
      </w:r>
      <w:r w:rsidR="009A1D81" w:rsidRPr="005B56DA">
        <w:t>D</w:t>
      </w:r>
      <w:r w:rsidR="00F8503A" w:rsidRPr="005B56DA">
        <w:t xml:space="preserve">CFM and CIOs to understand MAQ issues and convey overages to CIOs. </w:t>
      </w:r>
    </w:p>
    <w:p w14:paraId="055475BD" w14:textId="6BCF7269" w:rsidR="00A238D7" w:rsidRPr="005B56DA" w:rsidRDefault="00A238D7" w:rsidP="0006762B">
      <w:r w:rsidRPr="005B56DA">
        <w:t>MAQs vary tremendously on building attributes such as sprinkler coverage, fire-resistant rated construction, and where hazardous materials are being stored and used. Upper floors (higher than 3rd story) are more challenging for occupants to evacuate during emergencies. These upper levels are also more</w:t>
      </w:r>
      <w:r w:rsidR="005E4D4C" w:rsidRPr="005B56DA">
        <w:t xml:space="preserve"> difficult</w:t>
      </w:r>
      <w:r w:rsidRPr="005B56DA">
        <w:t xml:space="preserve"> for first responders to access, therefore the MAQ limits are reduced on higher levels relative to the first floor. </w:t>
      </w:r>
    </w:p>
    <w:p w14:paraId="143592E7" w14:textId="0733C900" w:rsidR="00A238D7" w:rsidRPr="005B56DA" w:rsidRDefault="00A238D7" w:rsidP="0006762B">
      <w:r w:rsidRPr="005B56DA">
        <w:t xml:space="preserve">For building managers responsible for assigning new faculty to spaces, it </w:t>
      </w:r>
      <w:r w:rsidR="00F81CC0" w:rsidRPr="005B56DA">
        <w:t>is</w:t>
      </w:r>
      <w:r w:rsidRPr="005B56DA">
        <w:t xml:space="preserve"> prudent to discuss the limitations of that space with EH&amp;S or the </w:t>
      </w:r>
      <w:r w:rsidR="009A1D81" w:rsidRPr="005B56DA">
        <w:t xml:space="preserve">DCFM </w:t>
      </w:r>
      <w:r w:rsidRPr="005B56DA">
        <w:t>prior to space assignments. For example, synthetic chemistry research or users of toxic gases will be severely restricted on upper floors of most buildings.</w:t>
      </w:r>
    </w:p>
    <w:p w14:paraId="04730FE0" w14:textId="71A1E2A8" w:rsidR="0000411F" w:rsidRPr="005B56DA" w:rsidRDefault="0000411F" w:rsidP="00F55A75">
      <w:pPr>
        <w:pStyle w:val="Heading3"/>
      </w:pPr>
      <w:r w:rsidRPr="005B56DA">
        <w:t>E</w:t>
      </w:r>
      <w:r w:rsidR="00362A88" w:rsidRPr="005B56DA">
        <w:t>nvironmental Health and Safety (E</w:t>
      </w:r>
      <w:r w:rsidRPr="005B56DA">
        <w:t>H&amp;S</w:t>
      </w:r>
      <w:r w:rsidR="00362A88" w:rsidRPr="005B56DA">
        <w:t>)</w:t>
      </w:r>
    </w:p>
    <w:p w14:paraId="1D0AFD19" w14:textId="6F493BB5" w:rsidR="0052671D" w:rsidRPr="005B56DA" w:rsidRDefault="0052671D" w:rsidP="0006762B">
      <w:r w:rsidRPr="005B56DA">
        <w:t xml:space="preserve">EH&amp;S staff are responsible for managing chemical inventories for their site. EH&amp;S often acts as the liaison between chemical users and regulatory agencies and the </w:t>
      </w:r>
      <w:r w:rsidR="009A1D81" w:rsidRPr="005B56DA">
        <w:t>DD</w:t>
      </w:r>
      <w:r w:rsidRPr="005B56DA">
        <w:t>CFM, therefore they need to be familiar with the objectives of MAQ compliance and how they impact chemical users. </w:t>
      </w:r>
    </w:p>
    <w:p w14:paraId="7E1D401C" w14:textId="77777777" w:rsidR="00CA0104" w:rsidRPr="005B56DA" w:rsidRDefault="00CA0104" w:rsidP="00F55A75">
      <w:pPr>
        <w:pStyle w:val="Heading3"/>
      </w:pPr>
      <w:r w:rsidRPr="005B56DA">
        <w:lastRenderedPageBreak/>
        <w:t xml:space="preserve">Executive Responsible Official </w:t>
      </w:r>
    </w:p>
    <w:p w14:paraId="43317E4A" w14:textId="5ECA5D6D" w:rsidR="00CA0104" w:rsidRPr="005B56DA" w:rsidRDefault="00CA0104" w:rsidP="0006762B">
      <w:r w:rsidRPr="005B56DA">
        <w:t xml:space="preserve">The designated senior executive official is responsible for oversight and implementation of the MAQ Management Plan. </w:t>
      </w:r>
    </w:p>
    <w:p w14:paraId="47589E2B" w14:textId="19A4DBE8" w:rsidR="00362A88" w:rsidRPr="005B56DA" w:rsidRDefault="00362A88" w:rsidP="00F55A75">
      <w:pPr>
        <w:pStyle w:val="Heading3"/>
      </w:pPr>
      <w:r w:rsidRPr="005B56DA">
        <w:t>Facilities and Maintenance</w:t>
      </w:r>
    </w:p>
    <w:p w14:paraId="30CCD343" w14:textId="72F132A9" w:rsidR="009F3521" w:rsidRPr="005B56DA" w:rsidRDefault="009F3521" w:rsidP="0006762B">
      <w:r w:rsidRPr="005B56DA">
        <w:t xml:space="preserve">Hazardous materials are commonly used </w:t>
      </w:r>
      <w:r w:rsidR="007663CF" w:rsidRPr="005B56DA">
        <w:t>for cleaning</w:t>
      </w:r>
      <w:r w:rsidRPr="005B56DA">
        <w:t xml:space="preserve">, </w:t>
      </w:r>
      <w:r w:rsidR="007663CF" w:rsidRPr="005B56DA">
        <w:t>landscaping</w:t>
      </w:r>
      <w:r w:rsidRPr="005B56DA">
        <w:t>, fleet operat</w:t>
      </w:r>
      <w:r w:rsidR="007663CF" w:rsidRPr="005B56DA">
        <w:t>ions</w:t>
      </w:r>
      <w:r w:rsidRPr="005B56DA">
        <w:t xml:space="preserve">, </w:t>
      </w:r>
      <w:r w:rsidR="007663CF" w:rsidRPr="005B56DA">
        <w:t xml:space="preserve">maintenance of athletic facilities, agriculture, </w:t>
      </w:r>
      <w:r w:rsidRPr="005B56DA">
        <w:t xml:space="preserve">and </w:t>
      </w:r>
      <w:r w:rsidR="007663CF" w:rsidRPr="005B56DA">
        <w:t>facilities operations</w:t>
      </w:r>
      <w:r w:rsidRPr="005B56DA">
        <w:t xml:space="preserve">. </w:t>
      </w:r>
      <w:r w:rsidR="007663CF" w:rsidRPr="005B56DA">
        <w:t xml:space="preserve">These are subject to MAQ limits. Facilities and Maintenance supervisors are required to keep accurate chemical inventories for all hazardous materials within their unit. </w:t>
      </w:r>
    </w:p>
    <w:p w14:paraId="02711904" w14:textId="352C1248" w:rsidR="00CA0104" w:rsidRPr="005B56DA" w:rsidRDefault="00CA0104" w:rsidP="0006762B">
      <w:r w:rsidRPr="005B56DA">
        <w:t xml:space="preserve">Facilities staff must work with project managers and </w:t>
      </w:r>
      <w:r w:rsidR="009A1D81" w:rsidRPr="005B56DA">
        <w:t>D</w:t>
      </w:r>
      <w:r w:rsidRPr="005B56DA">
        <w:t xml:space="preserve">CFMs for buildings containing chemicals. Discussion and coordination for installations of the following must be reviewed by the </w:t>
      </w:r>
      <w:r w:rsidR="009A1D81" w:rsidRPr="005B56DA">
        <w:t>D</w:t>
      </w:r>
      <w:r w:rsidRPr="005B56DA">
        <w:t xml:space="preserve">CFM: fire alarm and fire protection systems, ventilation systems (including hazardous exhaust systems, gas cabinets, fume hoods, building ventilation and exhaust serving labs and patient spaces), doors and wall penetrations for fire barriers and fire walls. </w:t>
      </w:r>
    </w:p>
    <w:p w14:paraId="537A89FE" w14:textId="27A87755" w:rsidR="00362A88" w:rsidRPr="005B56DA" w:rsidRDefault="00362A88" w:rsidP="00F55A75">
      <w:pPr>
        <w:pStyle w:val="Heading3"/>
      </w:pPr>
      <w:r w:rsidRPr="005B56DA">
        <w:t>Vice Chancellors</w:t>
      </w:r>
      <w:r w:rsidR="009D0230" w:rsidRPr="005B56DA">
        <w:t xml:space="preserve"> and Executives </w:t>
      </w:r>
    </w:p>
    <w:p w14:paraId="7321B929" w14:textId="04C9DF06" w:rsidR="00C34B2C" w:rsidRPr="005B56DA" w:rsidRDefault="007663CF" w:rsidP="0006762B">
      <w:r w:rsidRPr="005B56DA">
        <w:t xml:space="preserve">Campus and Health Center leadership is ultimately responsible for assuring their location is compliant with </w:t>
      </w:r>
      <w:r w:rsidR="009A1D81" w:rsidRPr="005B56DA">
        <w:t>MAQs</w:t>
      </w:r>
      <w:r w:rsidRPr="005B56DA">
        <w:t xml:space="preserve">. They must facilitate solutions and allocate funding, as needed, to achieve compliance within the timeframe. </w:t>
      </w:r>
    </w:p>
    <w:p w14:paraId="4A1312F1" w14:textId="0C504089" w:rsidR="000102D7" w:rsidRPr="005B56DA" w:rsidRDefault="000102D7" w:rsidP="0006762B">
      <w:pPr>
        <w:pStyle w:val="Heading2"/>
      </w:pPr>
      <w:bookmarkStart w:id="6" w:name="_Toc188448196"/>
      <w:r w:rsidRPr="005B56DA">
        <w:t xml:space="preserve">MAQ </w:t>
      </w:r>
      <w:r w:rsidRPr="00C359B7">
        <w:rPr>
          <w:rStyle w:val="Heading2Char"/>
        </w:rPr>
        <w:t>Status</w:t>
      </w:r>
      <w:r w:rsidRPr="005B56DA">
        <w:t xml:space="preserve"> </w:t>
      </w:r>
      <w:r w:rsidR="00634F3E" w:rsidRPr="005B56DA">
        <w:t>Report</w:t>
      </w:r>
      <w:bookmarkEnd w:id="6"/>
    </w:p>
    <w:p w14:paraId="22235780" w14:textId="23E2ACFC" w:rsidR="000102D7" w:rsidRPr="005B56DA" w:rsidRDefault="000102D7" w:rsidP="00F55A75">
      <w:pPr>
        <w:pStyle w:val="Heading3"/>
      </w:pPr>
      <w:r w:rsidRPr="005B56DA">
        <w:t>Hazardous Materials Inventory at UC location</w:t>
      </w:r>
    </w:p>
    <w:p w14:paraId="721F5F92" w14:textId="290F2BCA" w:rsidR="000102D7" w:rsidRPr="005B56DA" w:rsidRDefault="00633236" w:rsidP="0006762B">
      <w:r w:rsidRPr="005B56DA">
        <w:t xml:space="preserve">All chemical containers at UC xx have been reviewed </w:t>
      </w:r>
      <w:r w:rsidR="00CF7DBB" w:rsidRPr="005B56DA">
        <w:t>and the inventory is considered substantially complete and accurate (at least 90%)</w:t>
      </w:r>
      <w:r w:rsidRPr="005B56DA">
        <w:t xml:space="preserve">. Inventories are </w:t>
      </w:r>
      <w:r w:rsidR="00CF7DBB" w:rsidRPr="005B56DA">
        <w:t xml:space="preserve">regularly </w:t>
      </w:r>
      <w:r w:rsidRPr="005B56DA">
        <w:t xml:space="preserve">updated </w:t>
      </w:r>
      <w:r w:rsidR="006123BE" w:rsidRPr="005B56DA">
        <w:t>using</w:t>
      </w:r>
      <w:r w:rsidRPr="005B56DA">
        <w:t xml:space="preserve"> RSS Chemicals software. UC xx has xxx number of containers of hazardous materials.  </w:t>
      </w:r>
    </w:p>
    <w:p w14:paraId="1A2DA8F3" w14:textId="2D391C87" w:rsidR="000102D7" w:rsidRPr="005B56DA" w:rsidRDefault="000102D7" w:rsidP="00F55A75">
      <w:pPr>
        <w:pStyle w:val="Heading3"/>
      </w:pPr>
      <w:r w:rsidRPr="005B56DA">
        <w:t xml:space="preserve">Facility </w:t>
      </w:r>
      <w:r w:rsidR="009A1D81" w:rsidRPr="005B56DA">
        <w:t>R</w:t>
      </w:r>
      <w:r w:rsidRPr="005B56DA">
        <w:t>eview</w:t>
      </w:r>
    </w:p>
    <w:p w14:paraId="734099EB" w14:textId="69D427A4" w:rsidR="000F134D" w:rsidRPr="005B56DA" w:rsidRDefault="000102D7" w:rsidP="0006762B">
      <w:r w:rsidRPr="005B56DA">
        <w:t>Th</w:t>
      </w:r>
      <w:r w:rsidR="00633236" w:rsidRPr="005B56DA">
        <w:t xml:space="preserve">e </w:t>
      </w:r>
      <w:r w:rsidR="009A1D81" w:rsidRPr="005B56DA">
        <w:t>DCFM</w:t>
      </w:r>
      <w:r w:rsidR="00633236" w:rsidRPr="005B56DA">
        <w:t xml:space="preserve"> or </w:t>
      </w:r>
      <w:r w:rsidR="009A1D81" w:rsidRPr="005B56DA">
        <w:t xml:space="preserve">campus Certified </w:t>
      </w:r>
      <w:r w:rsidR="00633236" w:rsidRPr="005B56DA">
        <w:t xml:space="preserve">Building </w:t>
      </w:r>
      <w:r w:rsidR="009A1D81" w:rsidRPr="005B56DA">
        <w:t>O</w:t>
      </w:r>
      <w:r w:rsidR="00633236" w:rsidRPr="005B56DA">
        <w:t>fficial has reviewed buildings at UC xx to determine accurate building attributes</w:t>
      </w:r>
      <w:r w:rsidR="000F134D" w:rsidRPr="005B56DA">
        <w:t>. A</w:t>
      </w:r>
      <w:r w:rsidR="00633236" w:rsidRPr="005B56DA">
        <w:t>ll control areas</w:t>
      </w:r>
      <w:r w:rsidR="000F134D" w:rsidRPr="005B56DA">
        <w:t xml:space="preserve">, </w:t>
      </w:r>
      <w:r w:rsidR="00633236" w:rsidRPr="005B56DA">
        <w:t>laboratory suites</w:t>
      </w:r>
      <w:r w:rsidR="000F134D" w:rsidRPr="005B56DA">
        <w:t>, or other occupancies have been defined and verified</w:t>
      </w:r>
      <w:r w:rsidR="00633236" w:rsidRPr="005B56DA">
        <w:t>.</w:t>
      </w:r>
      <w:r w:rsidR="000F134D" w:rsidRPr="005B56DA">
        <w:t xml:space="preserve"> This data is entered into RSS Chemicals and is considered substantially complete and accurate (at least 90%).  </w:t>
      </w:r>
      <w:r w:rsidR="00633236" w:rsidRPr="005B56DA">
        <w:t xml:space="preserve"> </w:t>
      </w:r>
    </w:p>
    <w:p w14:paraId="1123A64D" w14:textId="0902A658" w:rsidR="006362C3" w:rsidRPr="005B56DA" w:rsidRDefault="008458FD" w:rsidP="0006762B">
      <w:r>
        <w:t>Total n</w:t>
      </w:r>
      <w:r w:rsidRPr="005B56DA">
        <w:t xml:space="preserve">umber of buildings </w:t>
      </w:r>
      <w:r>
        <w:t>at UC xx (Over threshold + Compliant + Incomplete)</w:t>
      </w:r>
      <w:r w:rsidRPr="005B56DA">
        <w:t xml:space="preserve">: </w:t>
      </w:r>
      <w:r w:rsidR="006362C3" w:rsidRPr="005B56DA">
        <w:t xml:space="preserve"> </w:t>
      </w:r>
    </w:p>
    <w:p w14:paraId="5CDB715D" w14:textId="15E519E5" w:rsidR="000102D7" w:rsidRPr="005B56DA" w:rsidRDefault="00940641" w:rsidP="0006762B">
      <w:r w:rsidRPr="005B56DA">
        <w:t>Number of buildings with full review of control areas</w:t>
      </w:r>
      <w:r w:rsidR="000F134D" w:rsidRPr="005B56DA">
        <w:t xml:space="preserve">: </w:t>
      </w:r>
    </w:p>
    <w:p w14:paraId="04E450F7" w14:textId="15B69832" w:rsidR="009C4D57" w:rsidRPr="005B56DA" w:rsidRDefault="009C4D57" w:rsidP="0006762B">
      <w:r w:rsidRPr="005B56DA">
        <w:t xml:space="preserve">Most </w:t>
      </w:r>
      <w:r w:rsidR="00FA753B" w:rsidRPr="005B56DA">
        <w:t>c</w:t>
      </w:r>
      <w:r w:rsidRPr="005B56DA">
        <w:t xml:space="preserve">ommon Occupancy type for buildings: </w:t>
      </w:r>
    </w:p>
    <w:p w14:paraId="4602C269" w14:textId="77777777" w:rsidR="009C4D57" w:rsidRPr="005B56DA" w:rsidRDefault="009C4D57" w:rsidP="0006762B">
      <w:r w:rsidRPr="005B56DA">
        <w:t xml:space="preserve">Number of High Rise buildings containing laboratories, clinical space, or hospitals: </w:t>
      </w:r>
    </w:p>
    <w:p w14:paraId="72E91633" w14:textId="77777777" w:rsidR="009C4D57" w:rsidRPr="005B56DA" w:rsidRDefault="009C4D57" w:rsidP="0006762B">
      <w:r w:rsidRPr="005B56DA">
        <w:t>Number of buildings containing one or more Group L Occupancy (or Group H-8) laboratory suites:</w:t>
      </w:r>
    </w:p>
    <w:p w14:paraId="73059D7B" w14:textId="77777777" w:rsidR="009C4D57" w:rsidRPr="005B56DA" w:rsidRDefault="009C4D57" w:rsidP="0006762B">
      <w:r w:rsidRPr="005B56DA">
        <w:t xml:space="preserve">Number of buildings containing on or more Group S Occupancies (Storage): </w:t>
      </w:r>
    </w:p>
    <w:p w14:paraId="39777ABC" w14:textId="77777777" w:rsidR="009C4D57" w:rsidRPr="005B56DA" w:rsidRDefault="009C4D57" w:rsidP="0006762B">
      <w:r w:rsidRPr="005B56DA">
        <w:lastRenderedPageBreak/>
        <w:t xml:space="preserve">Total number of Group H Occupancy rooms or buildings: </w:t>
      </w:r>
    </w:p>
    <w:tbl>
      <w:tblPr>
        <w:tblStyle w:val="TableGrid"/>
        <w:tblW w:w="0" w:type="auto"/>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ook w:val="04A0" w:firstRow="1" w:lastRow="0" w:firstColumn="1" w:lastColumn="0" w:noHBand="0" w:noVBand="1"/>
      </w:tblPr>
      <w:tblGrid>
        <w:gridCol w:w="3116"/>
        <w:gridCol w:w="3539"/>
      </w:tblGrid>
      <w:tr w:rsidR="009C4D57" w:rsidRPr="005B56DA" w14:paraId="2ADF3CA2" w14:textId="77777777" w:rsidTr="00325B63">
        <w:trPr>
          <w:trHeight w:val="404"/>
        </w:trPr>
        <w:tc>
          <w:tcPr>
            <w:tcW w:w="3116" w:type="dxa"/>
            <w:shd w:val="clear" w:color="auto" w:fill="1295D8"/>
            <w:vAlign w:val="center"/>
          </w:tcPr>
          <w:p w14:paraId="37AC4C4C" w14:textId="77777777" w:rsidR="009C4D57" w:rsidRPr="00325B63" w:rsidRDefault="009C4D57" w:rsidP="00325B63">
            <w:pPr>
              <w:spacing w:after="0"/>
              <w:jc w:val="center"/>
              <w:rPr>
                <w:b/>
                <w:bCs/>
                <w:color w:val="FFFFFF" w:themeColor="background1"/>
              </w:rPr>
            </w:pPr>
          </w:p>
        </w:tc>
        <w:tc>
          <w:tcPr>
            <w:tcW w:w="3539" w:type="dxa"/>
            <w:shd w:val="clear" w:color="auto" w:fill="1295D8"/>
            <w:vAlign w:val="center"/>
          </w:tcPr>
          <w:p w14:paraId="67F7DCD1" w14:textId="77777777" w:rsidR="009C4D57" w:rsidRPr="00325B63" w:rsidRDefault="009C4D57" w:rsidP="00325B63">
            <w:pPr>
              <w:spacing w:after="0"/>
              <w:jc w:val="center"/>
              <w:rPr>
                <w:b/>
                <w:bCs/>
                <w:color w:val="FFFFFF" w:themeColor="background1"/>
              </w:rPr>
            </w:pPr>
            <w:r w:rsidRPr="00325B63">
              <w:rPr>
                <w:b/>
                <w:bCs/>
                <w:color w:val="FFFFFF" w:themeColor="background1"/>
              </w:rPr>
              <w:t>Number at location</w:t>
            </w:r>
          </w:p>
        </w:tc>
      </w:tr>
      <w:tr w:rsidR="009C4D57" w:rsidRPr="005B56DA" w14:paraId="144FF631" w14:textId="77777777" w:rsidTr="00325B63">
        <w:tc>
          <w:tcPr>
            <w:tcW w:w="3116" w:type="dxa"/>
            <w:vAlign w:val="center"/>
          </w:tcPr>
          <w:p w14:paraId="5125CC3F" w14:textId="77777777" w:rsidR="009C4D57" w:rsidRPr="005B56DA" w:rsidRDefault="009C4D57" w:rsidP="00325B63">
            <w:pPr>
              <w:spacing w:after="0"/>
            </w:pPr>
            <w:r w:rsidRPr="005B56DA">
              <w:t>Group H-1</w:t>
            </w:r>
          </w:p>
        </w:tc>
        <w:tc>
          <w:tcPr>
            <w:tcW w:w="3539" w:type="dxa"/>
            <w:vAlign w:val="center"/>
          </w:tcPr>
          <w:p w14:paraId="32196BF9" w14:textId="77777777" w:rsidR="009C4D57" w:rsidRPr="005B56DA" w:rsidRDefault="009C4D57" w:rsidP="00325B63">
            <w:pPr>
              <w:spacing w:after="0"/>
            </w:pPr>
          </w:p>
        </w:tc>
      </w:tr>
      <w:tr w:rsidR="009C4D57" w:rsidRPr="005B56DA" w14:paraId="33A0E661" w14:textId="77777777" w:rsidTr="00681AF7">
        <w:tc>
          <w:tcPr>
            <w:tcW w:w="3116" w:type="dxa"/>
            <w:shd w:val="clear" w:color="auto" w:fill="F2F2F2" w:themeFill="background1" w:themeFillShade="F2"/>
            <w:vAlign w:val="center"/>
          </w:tcPr>
          <w:p w14:paraId="5AA47B42" w14:textId="77777777" w:rsidR="009C4D57" w:rsidRPr="005B56DA" w:rsidRDefault="009C4D57" w:rsidP="00325B63">
            <w:pPr>
              <w:spacing w:after="0"/>
            </w:pPr>
            <w:r w:rsidRPr="005B56DA">
              <w:t xml:space="preserve">Group H-2 </w:t>
            </w:r>
          </w:p>
        </w:tc>
        <w:tc>
          <w:tcPr>
            <w:tcW w:w="3539" w:type="dxa"/>
            <w:shd w:val="clear" w:color="auto" w:fill="F2F2F2" w:themeFill="background1" w:themeFillShade="F2"/>
            <w:vAlign w:val="center"/>
          </w:tcPr>
          <w:p w14:paraId="73197B6C" w14:textId="77777777" w:rsidR="009C4D57" w:rsidRPr="005B56DA" w:rsidRDefault="009C4D57" w:rsidP="00325B63">
            <w:pPr>
              <w:spacing w:after="0"/>
            </w:pPr>
          </w:p>
        </w:tc>
      </w:tr>
      <w:tr w:rsidR="009C4D57" w:rsidRPr="005B56DA" w14:paraId="6848B32B" w14:textId="77777777" w:rsidTr="00325B63">
        <w:tc>
          <w:tcPr>
            <w:tcW w:w="3116" w:type="dxa"/>
            <w:vAlign w:val="center"/>
          </w:tcPr>
          <w:p w14:paraId="3EB2F2BA" w14:textId="77777777" w:rsidR="009C4D57" w:rsidRPr="005B56DA" w:rsidRDefault="009C4D57" w:rsidP="00325B63">
            <w:pPr>
              <w:spacing w:after="0"/>
            </w:pPr>
            <w:r w:rsidRPr="005B56DA">
              <w:t>Group H-3</w:t>
            </w:r>
          </w:p>
        </w:tc>
        <w:tc>
          <w:tcPr>
            <w:tcW w:w="3539" w:type="dxa"/>
            <w:vAlign w:val="center"/>
          </w:tcPr>
          <w:p w14:paraId="72169B17" w14:textId="77777777" w:rsidR="009C4D57" w:rsidRPr="005B56DA" w:rsidRDefault="009C4D57" w:rsidP="00325B63">
            <w:pPr>
              <w:spacing w:after="0"/>
            </w:pPr>
          </w:p>
        </w:tc>
      </w:tr>
      <w:tr w:rsidR="009C4D57" w:rsidRPr="005B56DA" w14:paraId="68B7FE5A" w14:textId="77777777" w:rsidTr="00681AF7">
        <w:tc>
          <w:tcPr>
            <w:tcW w:w="3116" w:type="dxa"/>
            <w:shd w:val="clear" w:color="auto" w:fill="F2F2F2" w:themeFill="background1" w:themeFillShade="F2"/>
            <w:vAlign w:val="center"/>
          </w:tcPr>
          <w:p w14:paraId="480E7587" w14:textId="77777777" w:rsidR="009C4D57" w:rsidRPr="005B56DA" w:rsidRDefault="009C4D57" w:rsidP="00325B63">
            <w:pPr>
              <w:spacing w:after="0"/>
            </w:pPr>
            <w:r w:rsidRPr="005B56DA">
              <w:t>Group H-4</w:t>
            </w:r>
          </w:p>
        </w:tc>
        <w:tc>
          <w:tcPr>
            <w:tcW w:w="3539" w:type="dxa"/>
            <w:shd w:val="clear" w:color="auto" w:fill="F2F2F2" w:themeFill="background1" w:themeFillShade="F2"/>
            <w:vAlign w:val="center"/>
          </w:tcPr>
          <w:p w14:paraId="6DBF8E03" w14:textId="77777777" w:rsidR="009C4D57" w:rsidRPr="005B56DA" w:rsidRDefault="009C4D57" w:rsidP="00325B63">
            <w:pPr>
              <w:spacing w:after="0"/>
            </w:pPr>
          </w:p>
        </w:tc>
      </w:tr>
      <w:tr w:rsidR="009C4D57" w:rsidRPr="005B56DA" w14:paraId="6299AE5A" w14:textId="77777777" w:rsidTr="00325B63">
        <w:tc>
          <w:tcPr>
            <w:tcW w:w="3116" w:type="dxa"/>
            <w:vAlign w:val="center"/>
          </w:tcPr>
          <w:p w14:paraId="75A5A6DF" w14:textId="77777777" w:rsidR="009C4D57" w:rsidRPr="005B56DA" w:rsidRDefault="009C4D57" w:rsidP="00325B63">
            <w:pPr>
              <w:spacing w:after="0"/>
            </w:pPr>
            <w:r w:rsidRPr="005B56DA">
              <w:t>Group H-5</w:t>
            </w:r>
          </w:p>
        </w:tc>
        <w:tc>
          <w:tcPr>
            <w:tcW w:w="3539" w:type="dxa"/>
            <w:vAlign w:val="center"/>
          </w:tcPr>
          <w:p w14:paraId="6EFFB398" w14:textId="77777777" w:rsidR="009C4D57" w:rsidRPr="005B56DA" w:rsidRDefault="009C4D57" w:rsidP="00325B63">
            <w:pPr>
              <w:spacing w:after="0"/>
            </w:pPr>
          </w:p>
        </w:tc>
      </w:tr>
      <w:tr w:rsidR="009C4D57" w:rsidRPr="005B56DA" w14:paraId="0A26F6D2" w14:textId="77777777" w:rsidTr="00681AF7">
        <w:tc>
          <w:tcPr>
            <w:tcW w:w="3116" w:type="dxa"/>
            <w:shd w:val="clear" w:color="auto" w:fill="F2F2F2" w:themeFill="background1" w:themeFillShade="F2"/>
            <w:vAlign w:val="center"/>
          </w:tcPr>
          <w:p w14:paraId="3CC28E55" w14:textId="77777777" w:rsidR="009C4D57" w:rsidRPr="005B56DA" w:rsidRDefault="009C4D57" w:rsidP="00325B63">
            <w:pPr>
              <w:spacing w:after="0"/>
            </w:pPr>
            <w:r w:rsidRPr="005B56DA">
              <w:t>Group H-2/H-4</w:t>
            </w:r>
          </w:p>
        </w:tc>
        <w:tc>
          <w:tcPr>
            <w:tcW w:w="3539" w:type="dxa"/>
            <w:shd w:val="clear" w:color="auto" w:fill="F2F2F2" w:themeFill="background1" w:themeFillShade="F2"/>
            <w:vAlign w:val="center"/>
          </w:tcPr>
          <w:p w14:paraId="0EDB3257" w14:textId="77777777" w:rsidR="009C4D57" w:rsidRPr="005B56DA" w:rsidRDefault="009C4D57" w:rsidP="00325B63">
            <w:pPr>
              <w:spacing w:after="0"/>
            </w:pPr>
          </w:p>
        </w:tc>
      </w:tr>
      <w:tr w:rsidR="009C4D57" w:rsidRPr="005B56DA" w14:paraId="1460F198" w14:textId="77777777" w:rsidTr="00325B63">
        <w:tc>
          <w:tcPr>
            <w:tcW w:w="3116" w:type="dxa"/>
            <w:vAlign w:val="center"/>
          </w:tcPr>
          <w:p w14:paraId="13D78725" w14:textId="77777777" w:rsidR="009C4D57" w:rsidRPr="005B56DA" w:rsidRDefault="009C4D57" w:rsidP="00325B63">
            <w:pPr>
              <w:spacing w:after="0"/>
            </w:pPr>
            <w:r w:rsidRPr="005B56DA">
              <w:t>Group H-3/H-4</w:t>
            </w:r>
          </w:p>
        </w:tc>
        <w:tc>
          <w:tcPr>
            <w:tcW w:w="3539" w:type="dxa"/>
            <w:vAlign w:val="center"/>
          </w:tcPr>
          <w:p w14:paraId="4E685A67" w14:textId="77777777" w:rsidR="009C4D57" w:rsidRPr="005B56DA" w:rsidRDefault="009C4D57" w:rsidP="00325B63">
            <w:pPr>
              <w:spacing w:after="0"/>
            </w:pPr>
          </w:p>
        </w:tc>
      </w:tr>
      <w:tr w:rsidR="000F134D" w:rsidRPr="005B56DA" w14:paraId="236AB12F" w14:textId="77777777" w:rsidTr="00681AF7">
        <w:tc>
          <w:tcPr>
            <w:tcW w:w="3116" w:type="dxa"/>
            <w:shd w:val="clear" w:color="auto" w:fill="F2F2F2" w:themeFill="background1" w:themeFillShade="F2"/>
            <w:vAlign w:val="center"/>
          </w:tcPr>
          <w:p w14:paraId="3284F9A4" w14:textId="194512A5" w:rsidR="000F134D" w:rsidRPr="005B56DA" w:rsidRDefault="000F134D" w:rsidP="00325B63">
            <w:pPr>
              <w:spacing w:after="0"/>
            </w:pPr>
            <w:r w:rsidRPr="005B56DA">
              <w:t xml:space="preserve">Other: </w:t>
            </w:r>
          </w:p>
        </w:tc>
        <w:tc>
          <w:tcPr>
            <w:tcW w:w="3539" w:type="dxa"/>
            <w:shd w:val="clear" w:color="auto" w:fill="F2F2F2" w:themeFill="background1" w:themeFillShade="F2"/>
            <w:vAlign w:val="center"/>
          </w:tcPr>
          <w:p w14:paraId="3269E45E" w14:textId="77777777" w:rsidR="000F134D" w:rsidRPr="005B56DA" w:rsidRDefault="000F134D" w:rsidP="00325B63">
            <w:pPr>
              <w:spacing w:after="0"/>
            </w:pPr>
          </w:p>
        </w:tc>
      </w:tr>
    </w:tbl>
    <w:p w14:paraId="697020E4" w14:textId="1BA89DBE" w:rsidR="0049540C" w:rsidRPr="005B56DA" w:rsidRDefault="0049540C" w:rsidP="000E43BE">
      <w:pPr>
        <w:spacing w:before="240"/>
      </w:pPr>
      <w:r w:rsidRPr="005B56DA">
        <w:t>Incomplete buildings</w:t>
      </w:r>
      <w:r w:rsidR="005A1A6B" w:rsidRPr="005B56DA">
        <w:t xml:space="preserve"> (RSS Chemicals)</w:t>
      </w:r>
      <w:r w:rsidRPr="005B56DA">
        <w:t>:</w:t>
      </w:r>
    </w:p>
    <w:p w14:paraId="56B896FC" w14:textId="77777777" w:rsidR="0041286C" w:rsidRPr="005B56DA" w:rsidRDefault="0041286C" w:rsidP="0006762B">
      <w:r w:rsidRPr="005B56DA">
        <w:t xml:space="preserve">Number of buildings with automatic fire sprinkler coverage throughout: </w:t>
      </w:r>
    </w:p>
    <w:p w14:paraId="3282F69F" w14:textId="6C5C3BFF" w:rsidR="0049540C" w:rsidRPr="005B56DA" w:rsidRDefault="00BB5D8F" w:rsidP="0006762B">
      <w:r w:rsidRPr="005B56DA">
        <w:t xml:space="preserve">Buildings with </w:t>
      </w:r>
      <w:r w:rsidR="0041286C" w:rsidRPr="005B56DA">
        <w:t xml:space="preserve">CFC </w:t>
      </w:r>
      <w:r w:rsidRPr="005B56DA">
        <w:t xml:space="preserve">prohibited substances: </w:t>
      </w:r>
    </w:p>
    <w:p w14:paraId="70E4722C" w14:textId="18751081" w:rsidR="000102D7" w:rsidRPr="005B56DA" w:rsidRDefault="000102D7" w:rsidP="000E43BE">
      <w:pPr>
        <w:pStyle w:val="Heading3"/>
        <w:spacing w:before="360"/>
      </w:pPr>
      <w:r w:rsidRPr="005B56DA">
        <w:t xml:space="preserve">Metrics on MAQ Status </w:t>
      </w:r>
    </w:p>
    <w:tbl>
      <w:tblPr>
        <w:tblStyle w:val="TableGrid"/>
        <w:tblW w:w="9496" w:type="dxa"/>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ook w:val="04A0" w:firstRow="1" w:lastRow="0" w:firstColumn="1" w:lastColumn="0" w:noHBand="0" w:noVBand="1"/>
      </w:tblPr>
      <w:tblGrid>
        <w:gridCol w:w="3415"/>
        <w:gridCol w:w="2027"/>
        <w:gridCol w:w="2027"/>
        <w:gridCol w:w="2027"/>
      </w:tblGrid>
      <w:tr w:rsidR="0052423B" w:rsidRPr="005B56DA" w14:paraId="4A823491" w14:textId="77777777" w:rsidTr="0052423B">
        <w:trPr>
          <w:trHeight w:val="755"/>
        </w:trPr>
        <w:tc>
          <w:tcPr>
            <w:tcW w:w="3415" w:type="dxa"/>
            <w:tcBorders>
              <w:right w:val="single" w:sz="4" w:space="0" w:color="FFFFFF" w:themeColor="background1"/>
            </w:tcBorders>
            <w:shd w:val="clear" w:color="auto" w:fill="1295D8"/>
            <w:vAlign w:val="center"/>
          </w:tcPr>
          <w:p w14:paraId="1E520A4A" w14:textId="77777777" w:rsidR="00BB5D8F" w:rsidRPr="0052423B" w:rsidRDefault="00BB5D8F" w:rsidP="0052423B">
            <w:pPr>
              <w:spacing w:line="240" w:lineRule="auto"/>
              <w:jc w:val="center"/>
              <w:rPr>
                <w:b/>
                <w:bCs/>
                <w:color w:val="FFFFFF" w:themeColor="background1"/>
              </w:rPr>
            </w:pPr>
          </w:p>
        </w:tc>
        <w:tc>
          <w:tcPr>
            <w:tcW w:w="2027" w:type="dxa"/>
            <w:tcBorders>
              <w:left w:val="single" w:sz="4" w:space="0" w:color="FFFFFF" w:themeColor="background1"/>
              <w:right w:val="single" w:sz="4" w:space="0" w:color="FFFFFF" w:themeColor="background1"/>
            </w:tcBorders>
            <w:shd w:val="clear" w:color="auto" w:fill="1295D8"/>
            <w:vAlign w:val="center"/>
          </w:tcPr>
          <w:p w14:paraId="4C617666" w14:textId="1AC30B7F" w:rsidR="00BB5D8F" w:rsidRPr="0052423B" w:rsidRDefault="00BB5D8F" w:rsidP="0052423B">
            <w:pPr>
              <w:spacing w:after="0" w:line="240" w:lineRule="auto"/>
              <w:jc w:val="center"/>
              <w:rPr>
                <w:b/>
                <w:bCs/>
                <w:color w:val="FFFFFF" w:themeColor="background1"/>
              </w:rPr>
            </w:pPr>
            <w:r w:rsidRPr="0052423B">
              <w:rPr>
                <w:b/>
                <w:bCs/>
                <w:color w:val="FFFFFF" w:themeColor="background1"/>
              </w:rPr>
              <w:t>Total number</w:t>
            </w:r>
          </w:p>
        </w:tc>
        <w:tc>
          <w:tcPr>
            <w:tcW w:w="2027" w:type="dxa"/>
            <w:tcBorders>
              <w:left w:val="single" w:sz="4" w:space="0" w:color="FFFFFF" w:themeColor="background1"/>
              <w:right w:val="single" w:sz="4" w:space="0" w:color="FFFFFF" w:themeColor="background1"/>
            </w:tcBorders>
            <w:shd w:val="clear" w:color="auto" w:fill="1295D8"/>
            <w:vAlign w:val="center"/>
          </w:tcPr>
          <w:p w14:paraId="520805C3" w14:textId="1B5CC4DF" w:rsidR="00BB5D8F" w:rsidRPr="0052423B" w:rsidRDefault="00BB5D8F" w:rsidP="0052423B">
            <w:pPr>
              <w:spacing w:after="0" w:line="240" w:lineRule="auto"/>
              <w:jc w:val="center"/>
              <w:rPr>
                <w:b/>
                <w:bCs/>
                <w:color w:val="FFFFFF" w:themeColor="background1"/>
              </w:rPr>
            </w:pPr>
            <w:r w:rsidRPr="0052423B">
              <w:rPr>
                <w:b/>
                <w:bCs/>
                <w:color w:val="FFFFFF" w:themeColor="background1"/>
              </w:rPr>
              <w:t>Number exceeding MAQs</w:t>
            </w:r>
          </w:p>
        </w:tc>
        <w:tc>
          <w:tcPr>
            <w:tcW w:w="2027" w:type="dxa"/>
            <w:tcBorders>
              <w:left w:val="single" w:sz="4" w:space="0" w:color="FFFFFF" w:themeColor="background1"/>
            </w:tcBorders>
            <w:shd w:val="clear" w:color="auto" w:fill="1295D8"/>
            <w:vAlign w:val="center"/>
          </w:tcPr>
          <w:p w14:paraId="4C6F6436" w14:textId="0AAB65E5" w:rsidR="00BB5D8F" w:rsidRPr="0052423B" w:rsidRDefault="00BB5D8F" w:rsidP="0052423B">
            <w:pPr>
              <w:spacing w:after="0" w:line="240" w:lineRule="auto"/>
              <w:jc w:val="center"/>
              <w:rPr>
                <w:b/>
                <w:bCs/>
                <w:color w:val="FFFFFF" w:themeColor="background1"/>
              </w:rPr>
            </w:pPr>
            <w:r w:rsidRPr="0052423B">
              <w:rPr>
                <w:b/>
                <w:bCs/>
                <w:color w:val="FFFFFF" w:themeColor="background1"/>
              </w:rPr>
              <w:t xml:space="preserve">Percent </w:t>
            </w:r>
            <w:r w:rsidR="0052423B">
              <w:rPr>
                <w:b/>
                <w:bCs/>
                <w:color w:val="FFFFFF" w:themeColor="background1"/>
              </w:rPr>
              <w:br/>
            </w:r>
            <w:r w:rsidRPr="0052423B">
              <w:rPr>
                <w:b/>
                <w:bCs/>
                <w:color w:val="FFFFFF" w:themeColor="background1"/>
              </w:rPr>
              <w:t>non-compliant</w:t>
            </w:r>
          </w:p>
        </w:tc>
      </w:tr>
      <w:tr w:rsidR="009C4D57" w:rsidRPr="005B56DA" w14:paraId="3D815E5A" w14:textId="77777777" w:rsidTr="0052423B">
        <w:trPr>
          <w:trHeight w:val="597"/>
        </w:trPr>
        <w:tc>
          <w:tcPr>
            <w:tcW w:w="3415" w:type="dxa"/>
            <w:vAlign w:val="center"/>
          </w:tcPr>
          <w:p w14:paraId="00278542" w14:textId="37250896" w:rsidR="009C4D57" w:rsidRPr="005B56DA" w:rsidRDefault="009C4D57" w:rsidP="0052423B">
            <w:pPr>
              <w:spacing w:after="0"/>
            </w:pPr>
            <w:r w:rsidRPr="005B56DA">
              <w:t>Buildings</w:t>
            </w:r>
            <w:r w:rsidR="005C28F8" w:rsidRPr="005B56DA">
              <w:t xml:space="preserve"> containing chemicals</w:t>
            </w:r>
          </w:p>
        </w:tc>
        <w:tc>
          <w:tcPr>
            <w:tcW w:w="2027" w:type="dxa"/>
            <w:vAlign w:val="center"/>
          </w:tcPr>
          <w:p w14:paraId="072FDBA5" w14:textId="09E13090" w:rsidR="009C4D57" w:rsidRPr="0028359C" w:rsidRDefault="009C4D57" w:rsidP="0052423B">
            <w:pPr>
              <w:spacing w:after="0"/>
              <w:jc w:val="center"/>
              <w:rPr>
                <w:color w:val="BFBFBF" w:themeColor="background1" w:themeShade="BF"/>
              </w:rPr>
            </w:pPr>
            <w:r w:rsidRPr="0028359C">
              <w:rPr>
                <w:color w:val="BFBFBF" w:themeColor="background1" w:themeShade="BF"/>
              </w:rPr>
              <w:t>500</w:t>
            </w:r>
          </w:p>
        </w:tc>
        <w:tc>
          <w:tcPr>
            <w:tcW w:w="2027" w:type="dxa"/>
            <w:vAlign w:val="center"/>
          </w:tcPr>
          <w:p w14:paraId="5209F1EE" w14:textId="5DA1667D" w:rsidR="009C4D57" w:rsidRPr="0028359C" w:rsidRDefault="009C4D57" w:rsidP="0052423B">
            <w:pPr>
              <w:spacing w:after="0"/>
              <w:jc w:val="center"/>
              <w:rPr>
                <w:color w:val="BFBFBF" w:themeColor="background1" w:themeShade="BF"/>
              </w:rPr>
            </w:pPr>
            <w:r w:rsidRPr="0028359C">
              <w:rPr>
                <w:color w:val="BFBFBF" w:themeColor="background1" w:themeShade="BF"/>
              </w:rPr>
              <w:t>50</w:t>
            </w:r>
          </w:p>
        </w:tc>
        <w:tc>
          <w:tcPr>
            <w:tcW w:w="2027" w:type="dxa"/>
            <w:vAlign w:val="center"/>
          </w:tcPr>
          <w:p w14:paraId="6A9861DD" w14:textId="6B7B2282" w:rsidR="009C4D57" w:rsidRPr="0028359C" w:rsidRDefault="009C4D57" w:rsidP="0052423B">
            <w:pPr>
              <w:spacing w:after="0"/>
              <w:jc w:val="center"/>
              <w:rPr>
                <w:color w:val="BFBFBF" w:themeColor="background1" w:themeShade="BF"/>
              </w:rPr>
            </w:pPr>
            <w:r w:rsidRPr="0028359C">
              <w:rPr>
                <w:color w:val="BFBFBF" w:themeColor="background1" w:themeShade="BF"/>
              </w:rPr>
              <w:t>10%</w:t>
            </w:r>
          </w:p>
        </w:tc>
      </w:tr>
      <w:tr w:rsidR="009C4D57" w:rsidRPr="005B56DA" w14:paraId="7A9B8291" w14:textId="77777777" w:rsidTr="00681AF7">
        <w:trPr>
          <w:trHeight w:val="597"/>
        </w:trPr>
        <w:tc>
          <w:tcPr>
            <w:tcW w:w="3415" w:type="dxa"/>
            <w:shd w:val="clear" w:color="auto" w:fill="F2F2F2" w:themeFill="background1" w:themeFillShade="F2"/>
            <w:vAlign w:val="center"/>
          </w:tcPr>
          <w:p w14:paraId="270D6F20" w14:textId="23AEC66E" w:rsidR="009C4D57" w:rsidRPr="005B56DA" w:rsidRDefault="009C4D57" w:rsidP="0052423B">
            <w:pPr>
              <w:spacing w:after="0"/>
            </w:pPr>
            <w:r w:rsidRPr="005B56DA">
              <w:t>Control areas/Lab suites</w:t>
            </w:r>
          </w:p>
        </w:tc>
        <w:tc>
          <w:tcPr>
            <w:tcW w:w="2027" w:type="dxa"/>
            <w:shd w:val="clear" w:color="auto" w:fill="F2F2F2" w:themeFill="background1" w:themeFillShade="F2"/>
            <w:vAlign w:val="center"/>
          </w:tcPr>
          <w:p w14:paraId="496CDC97" w14:textId="6CFD27DE" w:rsidR="009C4D57" w:rsidRPr="0028359C" w:rsidRDefault="009C4D57" w:rsidP="0052423B">
            <w:pPr>
              <w:spacing w:after="0"/>
              <w:jc w:val="center"/>
              <w:rPr>
                <w:color w:val="BFBFBF" w:themeColor="background1" w:themeShade="BF"/>
              </w:rPr>
            </w:pPr>
            <w:r w:rsidRPr="0028359C">
              <w:rPr>
                <w:color w:val="BFBFBF" w:themeColor="background1" w:themeShade="BF"/>
              </w:rPr>
              <w:t>2,000</w:t>
            </w:r>
          </w:p>
        </w:tc>
        <w:tc>
          <w:tcPr>
            <w:tcW w:w="2027" w:type="dxa"/>
            <w:shd w:val="clear" w:color="auto" w:fill="F2F2F2" w:themeFill="background1" w:themeFillShade="F2"/>
            <w:vAlign w:val="center"/>
          </w:tcPr>
          <w:p w14:paraId="70576F02" w14:textId="68A326F6" w:rsidR="009C4D57" w:rsidRPr="0028359C" w:rsidRDefault="009C4D57" w:rsidP="0052423B">
            <w:pPr>
              <w:spacing w:after="0"/>
              <w:jc w:val="center"/>
              <w:rPr>
                <w:color w:val="BFBFBF" w:themeColor="background1" w:themeShade="BF"/>
              </w:rPr>
            </w:pPr>
            <w:r w:rsidRPr="0028359C">
              <w:rPr>
                <w:color w:val="BFBFBF" w:themeColor="background1" w:themeShade="BF"/>
              </w:rPr>
              <w:t>150</w:t>
            </w:r>
          </w:p>
        </w:tc>
        <w:tc>
          <w:tcPr>
            <w:tcW w:w="2027" w:type="dxa"/>
            <w:shd w:val="clear" w:color="auto" w:fill="F2F2F2" w:themeFill="background1" w:themeFillShade="F2"/>
            <w:vAlign w:val="center"/>
          </w:tcPr>
          <w:p w14:paraId="5F4B8D7C" w14:textId="542160A8" w:rsidR="009C4D57" w:rsidRPr="0028359C" w:rsidRDefault="009C4D57" w:rsidP="0052423B">
            <w:pPr>
              <w:spacing w:after="0"/>
              <w:jc w:val="center"/>
              <w:rPr>
                <w:color w:val="BFBFBF" w:themeColor="background1" w:themeShade="BF"/>
              </w:rPr>
            </w:pPr>
            <w:r w:rsidRPr="0028359C">
              <w:rPr>
                <w:color w:val="BFBFBF" w:themeColor="background1" w:themeShade="BF"/>
              </w:rPr>
              <w:t>7.5%</w:t>
            </w:r>
          </w:p>
        </w:tc>
      </w:tr>
      <w:tr w:rsidR="009C4D57" w:rsidRPr="005B56DA" w14:paraId="38FEC574" w14:textId="77777777" w:rsidTr="0052423B">
        <w:trPr>
          <w:trHeight w:val="597"/>
        </w:trPr>
        <w:tc>
          <w:tcPr>
            <w:tcW w:w="3415" w:type="dxa"/>
            <w:vAlign w:val="center"/>
          </w:tcPr>
          <w:p w14:paraId="3AECF375" w14:textId="267315B3" w:rsidR="009C4D57" w:rsidRPr="005B56DA" w:rsidRDefault="009C4D57" w:rsidP="0052423B">
            <w:pPr>
              <w:spacing w:after="0"/>
            </w:pPr>
            <w:r w:rsidRPr="005B56DA">
              <w:t>Hazard categories</w:t>
            </w:r>
            <w:r w:rsidR="005C28F8" w:rsidRPr="005B56DA">
              <w:t>*</w:t>
            </w:r>
          </w:p>
        </w:tc>
        <w:tc>
          <w:tcPr>
            <w:tcW w:w="2027" w:type="dxa"/>
            <w:vAlign w:val="center"/>
          </w:tcPr>
          <w:p w14:paraId="2F448FDE" w14:textId="6EDCEBD8" w:rsidR="009C4D57" w:rsidRPr="0028359C" w:rsidRDefault="009C4D57" w:rsidP="0052423B">
            <w:pPr>
              <w:spacing w:after="0"/>
              <w:jc w:val="center"/>
              <w:rPr>
                <w:color w:val="BFBFBF" w:themeColor="background1" w:themeShade="BF"/>
              </w:rPr>
            </w:pPr>
            <w:r w:rsidRPr="0028359C">
              <w:rPr>
                <w:color w:val="BFBFBF" w:themeColor="background1" w:themeShade="BF"/>
              </w:rPr>
              <w:t>50,000</w:t>
            </w:r>
          </w:p>
        </w:tc>
        <w:tc>
          <w:tcPr>
            <w:tcW w:w="2027" w:type="dxa"/>
            <w:vAlign w:val="center"/>
          </w:tcPr>
          <w:p w14:paraId="7450129C" w14:textId="30472422" w:rsidR="009C4D57" w:rsidRPr="0028359C" w:rsidRDefault="009C4D57" w:rsidP="0052423B">
            <w:pPr>
              <w:spacing w:after="0"/>
              <w:jc w:val="center"/>
              <w:rPr>
                <w:color w:val="BFBFBF" w:themeColor="background1" w:themeShade="BF"/>
              </w:rPr>
            </w:pPr>
            <w:r w:rsidRPr="0028359C">
              <w:rPr>
                <w:color w:val="BFBFBF" w:themeColor="background1" w:themeShade="BF"/>
              </w:rPr>
              <w:t>1,200</w:t>
            </w:r>
          </w:p>
        </w:tc>
        <w:tc>
          <w:tcPr>
            <w:tcW w:w="2027" w:type="dxa"/>
            <w:vAlign w:val="center"/>
          </w:tcPr>
          <w:p w14:paraId="6C7AFF95" w14:textId="60D81B4B" w:rsidR="009C4D57" w:rsidRPr="0028359C" w:rsidRDefault="009C4D57" w:rsidP="0052423B">
            <w:pPr>
              <w:spacing w:after="0"/>
              <w:jc w:val="center"/>
              <w:rPr>
                <w:color w:val="BFBFBF" w:themeColor="background1" w:themeShade="BF"/>
              </w:rPr>
            </w:pPr>
            <w:r w:rsidRPr="0028359C">
              <w:rPr>
                <w:color w:val="BFBFBF" w:themeColor="background1" w:themeShade="BF"/>
              </w:rPr>
              <w:t>2.4%</w:t>
            </w:r>
          </w:p>
        </w:tc>
      </w:tr>
      <w:tr w:rsidR="009C4D57" w:rsidRPr="005B56DA" w14:paraId="41F4EB99" w14:textId="77777777" w:rsidTr="00681AF7">
        <w:trPr>
          <w:trHeight w:val="597"/>
        </w:trPr>
        <w:tc>
          <w:tcPr>
            <w:tcW w:w="3415" w:type="dxa"/>
            <w:shd w:val="clear" w:color="auto" w:fill="F2F2F2" w:themeFill="background1" w:themeFillShade="F2"/>
            <w:vAlign w:val="center"/>
          </w:tcPr>
          <w:p w14:paraId="32365F1C" w14:textId="28F72921" w:rsidR="009C4D57" w:rsidRPr="005B56DA" w:rsidRDefault="009C4D57" w:rsidP="0052423B">
            <w:pPr>
              <w:spacing w:after="0"/>
            </w:pPr>
            <w:r w:rsidRPr="005B56DA">
              <w:t>Significant overages</w:t>
            </w:r>
            <w:r w:rsidR="005C28F8" w:rsidRPr="005B56DA">
              <w:t>**</w:t>
            </w:r>
          </w:p>
        </w:tc>
        <w:tc>
          <w:tcPr>
            <w:tcW w:w="2027" w:type="dxa"/>
            <w:shd w:val="clear" w:color="auto" w:fill="F2F2F2" w:themeFill="background1" w:themeFillShade="F2"/>
            <w:vAlign w:val="center"/>
          </w:tcPr>
          <w:p w14:paraId="6AEB87F7" w14:textId="451DDA64" w:rsidR="009C4D57" w:rsidRPr="0028359C" w:rsidRDefault="009C4D57" w:rsidP="0052423B">
            <w:pPr>
              <w:spacing w:after="0"/>
              <w:jc w:val="center"/>
              <w:rPr>
                <w:color w:val="BFBFBF" w:themeColor="background1" w:themeShade="BF"/>
              </w:rPr>
            </w:pPr>
            <w:r w:rsidRPr="0028359C">
              <w:rPr>
                <w:color w:val="BFBFBF" w:themeColor="background1" w:themeShade="BF"/>
              </w:rPr>
              <w:t>300</w:t>
            </w:r>
          </w:p>
        </w:tc>
        <w:tc>
          <w:tcPr>
            <w:tcW w:w="2027" w:type="dxa"/>
            <w:shd w:val="clear" w:color="auto" w:fill="F2F2F2" w:themeFill="background1" w:themeFillShade="F2"/>
            <w:vAlign w:val="center"/>
          </w:tcPr>
          <w:p w14:paraId="68CC03EB" w14:textId="653C8376" w:rsidR="009C4D57" w:rsidRPr="0028359C" w:rsidRDefault="009C4D57" w:rsidP="0052423B">
            <w:pPr>
              <w:spacing w:after="0"/>
              <w:jc w:val="center"/>
              <w:rPr>
                <w:color w:val="BFBFBF" w:themeColor="background1" w:themeShade="BF"/>
              </w:rPr>
            </w:pPr>
          </w:p>
        </w:tc>
        <w:tc>
          <w:tcPr>
            <w:tcW w:w="2027" w:type="dxa"/>
            <w:shd w:val="clear" w:color="auto" w:fill="F2F2F2" w:themeFill="background1" w:themeFillShade="F2"/>
            <w:vAlign w:val="center"/>
          </w:tcPr>
          <w:p w14:paraId="75BF2B81" w14:textId="0AAF474A" w:rsidR="009C4D57" w:rsidRPr="0028359C" w:rsidRDefault="009C4D57" w:rsidP="0052423B">
            <w:pPr>
              <w:spacing w:after="0"/>
              <w:jc w:val="center"/>
              <w:rPr>
                <w:color w:val="BFBFBF" w:themeColor="background1" w:themeShade="BF"/>
              </w:rPr>
            </w:pPr>
            <w:r w:rsidRPr="0028359C">
              <w:rPr>
                <w:color w:val="BFBFBF" w:themeColor="background1" w:themeShade="BF"/>
              </w:rPr>
              <w:t>0.6%</w:t>
            </w:r>
          </w:p>
        </w:tc>
      </w:tr>
    </w:tbl>
    <w:p w14:paraId="7145AD11" w14:textId="112D57F6" w:rsidR="00280C31" w:rsidRPr="005B56DA" w:rsidRDefault="00AC5B06" w:rsidP="000E43BE">
      <w:pPr>
        <w:spacing w:before="120"/>
      </w:pPr>
      <w:r w:rsidRPr="005B56DA">
        <w:t xml:space="preserve">Hazard categories in indoor control areas: </w:t>
      </w:r>
      <w:r w:rsidR="00280C31" w:rsidRPr="005B56DA">
        <w:t>80 (all hazard classes in MAQ Table except for combustible dusts, fibers and inert gases)</w:t>
      </w:r>
    </w:p>
    <w:p w14:paraId="3CF20296" w14:textId="4CD5754B" w:rsidR="00AC5B06" w:rsidRPr="005B56DA" w:rsidRDefault="00AC5B06" w:rsidP="0006762B">
      <w:r w:rsidRPr="005B56DA">
        <w:t xml:space="preserve">Hazard categories in outdoor control areas: </w:t>
      </w:r>
      <w:r w:rsidR="00280C31" w:rsidRPr="005B56DA">
        <w:t xml:space="preserve">60 (all hazard classes in MAQ Table except for inert gases) </w:t>
      </w:r>
    </w:p>
    <w:p w14:paraId="39F51004" w14:textId="32A4478E" w:rsidR="00AC5B06" w:rsidRPr="005B56DA" w:rsidRDefault="00AC5B06" w:rsidP="0006762B">
      <w:r w:rsidRPr="005B56DA">
        <w:t>*Hazard categories = number of control areas x individual hazard categories per control area</w:t>
      </w:r>
    </w:p>
    <w:p w14:paraId="14284E75" w14:textId="7B6E746D" w:rsidR="003B2406" w:rsidRPr="005B56DA" w:rsidRDefault="005C28F8" w:rsidP="0006762B">
      <w:r w:rsidRPr="005B56DA">
        <w:t>**</w:t>
      </w:r>
      <w:r w:rsidR="001702DA" w:rsidRPr="005B56DA">
        <w:t xml:space="preserve">Significant overages are </w:t>
      </w:r>
      <w:r w:rsidRPr="005B56DA">
        <w:t xml:space="preserve">instances where MAQs are exceeded by </w:t>
      </w:r>
      <w:r w:rsidR="001702DA" w:rsidRPr="005B56DA">
        <w:t xml:space="preserve">more than </w:t>
      </w:r>
      <w:r w:rsidRPr="005B56DA">
        <w:t>200%</w:t>
      </w:r>
    </w:p>
    <w:p w14:paraId="56697A31" w14:textId="77777777" w:rsidR="003041D5" w:rsidRDefault="003041D5" w:rsidP="00587B45">
      <w:pPr>
        <w:pStyle w:val="Heading3"/>
      </w:pPr>
      <w:r>
        <w:br w:type="page"/>
      </w:r>
    </w:p>
    <w:p w14:paraId="6B2DD78B" w14:textId="6B4F25C9" w:rsidR="003B2406" w:rsidRPr="005B56DA" w:rsidRDefault="003B2406" w:rsidP="00587B45">
      <w:pPr>
        <w:pStyle w:val="Heading3"/>
      </w:pPr>
      <w:r w:rsidRPr="005B56DA">
        <w:lastRenderedPageBreak/>
        <w:t>Buildings that exceed MAQs</w:t>
      </w:r>
    </w:p>
    <w:tbl>
      <w:tblPr>
        <w:tblStyle w:val="TableGrid"/>
        <w:tblW w:w="0" w:type="auto"/>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ook w:val="04A0" w:firstRow="1" w:lastRow="0" w:firstColumn="1" w:lastColumn="0" w:noHBand="0" w:noVBand="1"/>
      </w:tblPr>
      <w:tblGrid>
        <w:gridCol w:w="2851"/>
        <w:gridCol w:w="1914"/>
        <w:gridCol w:w="2100"/>
        <w:gridCol w:w="2485"/>
      </w:tblGrid>
      <w:tr w:rsidR="003B2406" w:rsidRPr="005B56DA" w14:paraId="6467F0F8" w14:textId="77777777" w:rsidTr="00325B63">
        <w:trPr>
          <w:trHeight w:val="830"/>
        </w:trPr>
        <w:tc>
          <w:tcPr>
            <w:tcW w:w="2851" w:type="dxa"/>
            <w:shd w:val="clear" w:color="auto" w:fill="1295D8"/>
            <w:vAlign w:val="center"/>
          </w:tcPr>
          <w:p w14:paraId="086DF51A" w14:textId="1664B9B2" w:rsidR="003B2406" w:rsidRPr="00325B63" w:rsidRDefault="003B2406" w:rsidP="00325B63">
            <w:pPr>
              <w:spacing w:after="0"/>
              <w:jc w:val="center"/>
              <w:rPr>
                <w:b/>
                <w:bCs/>
                <w:color w:val="FFFFFF" w:themeColor="background1"/>
              </w:rPr>
            </w:pPr>
            <w:r w:rsidRPr="00325B63">
              <w:rPr>
                <w:b/>
                <w:bCs/>
                <w:color w:val="FFFFFF" w:themeColor="background1"/>
              </w:rPr>
              <w:t>Building name</w:t>
            </w:r>
          </w:p>
        </w:tc>
        <w:tc>
          <w:tcPr>
            <w:tcW w:w="1914" w:type="dxa"/>
            <w:shd w:val="clear" w:color="auto" w:fill="1295D8"/>
            <w:vAlign w:val="center"/>
          </w:tcPr>
          <w:p w14:paraId="7C707A1C" w14:textId="08FF0AAF" w:rsidR="003B2406" w:rsidRPr="00325B63" w:rsidRDefault="003B2406" w:rsidP="00325B63">
            <w:pPr>
              <w:spacing w:after="0"/>
              <w:jc w:val="center"/>
              <w:rPr>
                <w:b/>
                <w:bCs/>
                <w:color w:val="FFFFFF" w:themeColor="background1"/>
              </w:rPr>
            </w:pPr>
            <w:r w:rsidRPr="00325B63">
              <w:rPr>
                <w:b/>
                <w:bCs/>
                <w:color w:val="FFFFFF" w:themeColor="background1"/>
              </w:rPr>
              <w:t>Primary Department</w:t>
            </w:r>
          </w:p>
        </w:tc>
        <w:tc>
          <w:tcPr>
            <w:tcW w:w="2100" w:type="dxa"/>
            <w:shd w:val="clear" w:color="auto" w:fill="1295D8"/>
            <w:vAlign w:val="center"/>
          </w:tcPr>
          <w:p w14:paraId="7D608F81" w14:textId="64250CFF" w:rsidR="003B2406" w:rsidRPr="00325B63" w:rsidRDefault="003B2406" w:rsidP="00325B63">
            <w:pPr>
              <w:spacing w:after="0"/>
              <w:jc w:val="center"/>
              <w:rPr>
                <w:b/>
                <w:bCs/>
                <w:color w:val="FFFFFF" w:themeColor="background1"/>
              </w:rPr>
            </w:pPr>
            <w:r w:rsidRPr="00325B63">
              <w:rPr>
                <w:b/>
                <w:bCs/>
                <w:color w:val="FFFFFF" w:themeColor="background1"/>
              </w:rPr>
              <w:t>Number of control areas that exceed MAQs</w:t>
            </w:r>
          </w:p>
        </w:tc>
        <w:tc>
          <w:tcPr>
            <w:tcW w:w="2485" w:type="dxa"/>
            <w:shd w:val="clear" w:color="auto" w:fill="1295D8"/>
            <w:vAlign w:val="center"/>
          </w:tcPr>
          <w:p w14:paraId="7C6E3661" w14:textId="47CE0277" w:rsidR="003B2406" w:rsidRPr="00325B63" w:rsidRDefault="003B2406" w:rsidP="00325B63">
            <w:pPr>
              <w:spacing w:after="0"/>
              <w:jc w:val="center"/>
              <w:rPr>
                <w:b/>
                <w:bCs/>
                <w:color w:val="FFFFFF" w:themeColor="background1"/>
              </w:rPr>
            </w:pPr>
            <w:r w:rsidRPr="00325B63">
              <w:rPr>
                <w:b/>
                <w:bCs/>
                <w:color w:val="FFFFFF" w:themeColor="background1"/>
              </w:rPr>
              <w:t>Total number of hazard categories that exceed MAQs</w:t>
            </w:r>
          </w:p>
        </w:tc>
      </w:tr>
      <w:tr w:rsidR="003B2406" w:rsidRPr="005B56DA" w14:paraId="6D330B54" w14:textId="77777777" w:rsidTr="00C905C4">
        <w:trPr>
          <w:trHeight w:val="680"/>
        </w:trPr>
        <w:tc>
          <w:tcPr>
            <w:tcW w:w="2851" w:type="dxa"/>
          </w:tcPr>
          <w:p w14:paraId="029445D8" w14:textId="7C722689" w:rsidR="003B2406" w:rsidRPr="005B56DA" w:rsidRDefault="003B2406" w:rsidP="0006762B"/>
        </w:tc>
        <w:tc>
          <w:tcPr>
            <w:tcW w:w="1914" w:type="dxa"/>
          </w:tcPr>
          <w:p w14:paraId="414512C4" w14:textId="1FAF933E" w:rsidR="00497D95" w:rsidRPr="005B56DA" w:rsidRDefault="00497D95" w:rsidP="0006762B"/>
        </w:tc>
        <w:tc>
          <w:tcPr>
            <w:tcW w:w="2100" w:type="dxa"/>
          </w:tcPr>
          <w:p w14:paraId="0D482A97" w14:textId="40F7EAF6" w:rsidR="003B2406" w:rsidRPr="005B56DA" w:rsidRDefault="003B2406" w:rsidP="0006762B"/>
        </w:tc>
        <w:tc>
          <w:tcPr>
            <w:tcW w:w="2485" w:type="dxa"/>
          </w:tcPr>
          <w:p w14:paraId="2496A266" w14:textId="01FDB0BE" w:rsidR="003B2406" w:rsidRPr="005B56DA" w:rsidRDefault="003B2406" w:rsidP="0006762B"/>
        </w:tc>
      </w:tr>
      <w:tr w:rsidR="003B2406" w:rsidRPr="005B56DA" w14:paraId="45DF527B" w14:textId="77777777" w:rsidTr="00C905C4">
        <w:trPr>
          <w:trHeight w:val="680"/>
        </w:trPr>
        <w:tc>
          <w:tcPr>
            <w:tcW w:w="2851" w:type="dxa"/>
          </w:tcPr>
          <w:p w14:paraId="5A468F0C" w14:textId="77777777" w:rsidR="003B2406" w:rsidRPr="005B56DA" w:rsidRDefault="003B2406" w:rsidP="0006762B"/>
        </w:tc>
        <w:tc>
          <w:tcPr>
            <w:tcW w:w="1914" w:type="dxa"/>
          </w:tcPr>
          <w:p w14:paraId="665B2875" w14:textId="77777777" w:rsidR="003B2406" w:rsidRPr="005B56DA" w:rsidRDefault="003B2406" w:rsidP="0006762B"/>
        </w:tc>
        <w:tc>
          <w:tcPr>
            <w:tcW w:w="2100" w:type="dxa"/>
          </w:tcPr>
          <w:p w14:paraId="5FEAB12C" w14:textId="11EDAEE4" w:rsidR="003B2406" w:rsidRPr="005B56DA" w:rsidRDefault="003B2406" w:rsidP="0006762B"/>
        </w:tc>
        <w:tc>
          <w:tcPr>
            <w:tcW w:w="2485" w:type="dxa"/>
          </w:tcPr>
          <w:p w14:paraId="499BE1D1" w14:textId="77777777" w:rsidR="003B2406" w:rsidRPr="005B56DA" w:rsidRDefault="003B2406" w:rsidP="0006762B"/>
        </w:tc>
      </w:tr>
      <w:tr w:rsidR="003B2406" w:rsidRPr="005B56DA" w14:paraId="15B264CE" w14:textId="77777777" w:rsidTr="00C905C4">
        <w:trPr>
          <w:trHeight w:val="680"/>
        </w:trPr>
        <w:tc>
          <w:tcPr>
            <w:tcW w:w="2851" w:type="dxa"/>
          </w:tcPr>
          <w:p w14:paraId="236C1C6A" w14:textId="77777777" w:rsidR="003B2406" w:rsidRPr="005B56DA" w:rsidRDefault="003B2406" w:rsidP="0006762B"/>
        </w:tc>
        <w:tc>
          <w:tcPr>
            <w:tcW w:w="1914" w:type="dxa"/>
          </w:tcPr>
          <w:p w14:paraId="7D8458B3" w14:textId="77777777" w:rsidR="003B2406" w:rsidRPr="005B56DA" w:rsidRDefault="003B2406" w:rsidP="0006762B"/>
        </w:tc>
        <w:tc>
          <w:tcPr>
            <w:tcW w:w="2100" w:type="dxa"/>
          </w:tcPr>
          <w:p w14:paraId="058ADF49" w14:textId="522C0338" w:rsidR="003B2406" w:rsidRPr="005B56DA" w:rsidRDefault="003B2406" w:rsidP="0006762B"/>
        </w:tc>
        <w:tc>
          <w:tcPr>
            <w:tcW w:w="2485" w:type="dxa"/>
          </w:tcPr>
          <w:p w14:paraId="3BA49FA7" w14:textId="77777777" w:rsidR="003B2406" w:rsidRPr="005B56DA" w:rsidRDefault="003B2406" w:rsidP="0006762B"/>
        </w:tc>
      </w:tr>
      <w:tr w:rsidR="003B2406" w:rsidRPr="005B56DA" w14:paraId="16C0C8C1" w14:textId="77777777" w:rsidTr="00C905C4">
        <w:trPr>
          <w:trHeight w:val="680"/>
        </w:trPr>
        <w:tc>
          <w:tcPr>
            <w:tcW w:w="2851" w:type="dxa"/>
          </w:tcPr>
          <w:p w14:paraId="77D202B5" w14:textId="77777777" w:rsidR="003B2406" w:rsidRPr="005B56DA" w:rsidRDefault="003B2406" w:rsidP="0006762B"/>
        </w:tc>
        <w:tc>
          <w:tcPr>
            <w:tcW w:w="1914" w:type="dxa"/>
          </w:tcPr>
          <w:p w14:paraId="4D9D92B6" w14:textId="77777777" w:rsidR="003B2406" w:rsidRPr="005B56DA" w:rsidRDefault="003B2406" w:rsidP="0006762B"/>
        </w:tc>
        <w:tc>
          <w:tcPr>
            <w:tcW w:w="2100" w:type="dxa"/>
          </w:tcPr>
          <w:p w14:paraId="4EBECBB8" w14:textId="594BD7AB" w:rsidR="003B2406" w:rsidRPr="005B56DA" w:rsidRDefault="003B2406" w:rsidP="0006762B"/>
        </w:tc>
        <w:tc>
          <w:tcPr>
            <w:tcW w:w="2485" w:type="dxa"/>
          </w:tcPr>
          <w:p w14:paraId="089A3654" w14:textId="77777777" w:rsidR="003B2406" w:rsidRPr="005B56DA" w:rsidRDefault="003B2406" w:rsidP="0006762B"/>
        </w:tc>
      </w:tr>
      <w:tr w:rsidR="003B2406" w:rsidRPr="005B56DA" w14:paraId="118918BC" w14:textId="77777777" w:rsidTr="00C905C4">
        <w:trPr>
          <w:trHeight w:val="680"/>
        </w:trPr>
        <w:tc>
          <w:tcPr>
            <w:tcW w:w="2851" w:type="dxa"/>
          </w:tcPr>
          <w:p w14:paraId="7CE24ACF" w14:textId="77777777" w:rsidR="003B2406" w:rsidRPr="005B56DA" w:rsidRDefault="003B2406" w:rsidP="0006762B"/>
        </w:tc>
        <w:tc>
          <w:tcPr>
            <w:tcW w:w="1914" w:type="dxa"/>
          </w:tcPr>
          <w:p w14:paraId="22D1B74E" w14:textId="77777777" w:rsidR="003B2406" w:rsidRPr="005B56DA" w:rsidRDefault="003B2406" w:rsidP="0006762B"/>
        </w:tc>
        <w:tc>
          <w:tcPr>
            <w:tcW w:w="2100" w:type="dxa"/>
          </w:tcPr>
          <w:p w14:paraId="105CD7F8" w14:textId="311236EC" w:rsidR="003B2406" w:rsidRPr="005B56DA" w:rsidRDefault="003B2406" w:rsidP="0006762B"/>
        </w:tc>
        <w:tc>
          <w:tcPr>
            <w:tcW w:w="2485" w:type="dxa"/>
          </w:tcPr>
          <w:p w14:paraId="54D606CE" w14:textId="77777777" w:rsidR="003B2406" w:rsidRPr="005B56DA" w:rsidRDefault="003B2406" w:rsidP="0006762B"/>
        </w:tc>
      </w:tr>
      <w:tr w:rsidR="003B2406" w:rsidRPr="005B56DA" w14:paraId="284DFF2D" w14:textId="77777777" w:rsidTr="00C905C4">
        <w:trPr>
          <w:trHeight w:val="680"/>
        </w:trPr>
        <w:tc>
          <w:tcPr>
            <w:tcW w:w="2851" w:type="dxa"/>
          </w:tcPr>
          <w:p w14:paraId="5F1378D1" w14:textId="77777777" w:rsidR="003B2406" w:rsidRPr="005B56DA" w:rsidRDefault="003B2406" w:rsidP="0006762B"/>
        </w:tc>
        <w:tc>
          <w:tcPr>
            <w:tcW w:w="1914" w:type="dxa"/>
          </w:tcPr>
          <w:p w14:paraId="47D0A877" w14:textId="77777777" w:rsidR="003B2406" w:rsidRPr="005B56DA" w:rsidRDefault="003B2406" w:rsidP="0006762B"/>
        </w:tc>
        <w:tc>
          <w:tcPr>
            <w:tcW w:w="2100" w:type="dxa"/>
          </w:tcPr>
          <w:p w14:paraId="090ED71A" w14:textId="6271EE52" w:rsidR="003B2406" w:rsidRPr="005B56DA" w:rsidRDefault="003B2406" w:rsidP="0006762B"/>
        </w:tc>
        <w:tc>
          <w:tcPr>
            <w:tcW w:w="2485" w:type="dxa"/>
          </w:tcPr>
          <w:p w14:paraId="195EBD84" w14:textId="77777777" w:rsidR="003B2406" w:rsidRPr="005B56DA" w:rsidRDefault="003B2406" w:rsidP="0006762B"/>
        </w:tc>
      </w:tr>
      <w:tr w:rsidR="003B2406" w:rsidRPr="005B56DA" w14:paraId="721139EB" w14:textId="77777777" w:rsidTr="00C905C4">
        <w:trPr>
          <w:trHeight w:val="680"/>
        </w:trPr>
        <w:tc>
          <w:tcPr>
            <w:tcW w:w="2851" w:type="dxa"/>
          </w:tcPr>
          <w:p w14:paraId="5343392A" w14:textId="77777777" w:rsidR="003B2406" w:rsidRPr="005B56DA" w:rsidRDefault="003B2406" w:rsidP="0006762B"/>
        </w:tc>
        <w:tc>
          <w:tcPr>
            <w:tcW w:w="1914" w:type="dxa"/>
          </w:tcPr>
          <w:p w14:paraId="489DEFA3" w14:textId="77777777" w:rsidR="003B2406" w:rsidRPr="005B56DA" w:rsidRDefault="003B2406" w:rsidP="0006762B"/>
        </w:tc>
        <w:tc>
          <w:tcPr>
            <w:tcW w:w="2100" w:type="dxa"/>
          </w:tcPr>
          <w:p w14:paraId="54F4D59A" w14:textId="2ADBAD8E" w:rsidR="003B2406" w:rsidRPr="005B56DA" w:rsidRDefault="003B2406" w:rsidP="0006762B"/>
        </w:tc>
        <w:tc>
          <w:tcPr>
            <w:tcW w:w="2485" w:type="dxa"/>
          </w:tcPr>
          <w:p w14:paraId="4FB34A83" w14:textId="77777777" w:rsidR="003B2406" w:rsidRPr="005B56DA" w:rsidRDefault="003B2406" w:rsidP="0006762B"/>
        </w:tc>
      </w:tr>
      <w:tr w:rsidR="003B2406" w:rsidRPr="005B56DA" w14:paraId="1B4A3A39" w14:textId="77777777" w:rsidTr="00C905C4">
        <w:trPr>
          <w:trHeight w:val="680"/>
        </w:trPr>
        <w:tc>
          <w:tcPr>
            <w:tcW w:w="2851" w:type="dxa"/>
          </w:tcPr>
          <w:p w14:paraId="19E7F1F9" w14:textId="77777777" w:rsidR="003B2406" w:rsidRPr="005B56DA" w:rsidRDefault="003B2406" w:rsidP="0006762B"/>
        </w:tc>
        <w:tc>
          <w:tcPr>
            <w:tcW w:w="1914" w:type="dxa"/>
          </w:tcPr>
          <w:p w14:paraId="6C781533" w14:textId="77777777" w:rsidR="003B2406" w:rsidRPr="005B56DA" w:rsidRDefault="003B2406" w:rsidP="0006762B"/>
        </w:tc>
        <w:tc>
          <w:tcPr>
            <w:tcW w:w="2100" w:type="dxa"/>
          </w:tcPr>
          <w:p w14:paraId="723A8BD6" w14:textId="6DFF0BE4" w:rsidR="003B2406" w:rsidRPr="005B56DA" w:rsidRDefault="003B2406" w:rsidP="0006762B"/>
        </w:tc>
        <w:tc>
          <w:tcPr>
            <w:tcW w:w="2485" w:type="dxa"/>
          </w:tcPr>
          <w:p w14:paraId="4B137B4A" w14:textId="77777777" w:rsidR="003B2406" w:rsidRPr="005B56DA" w:rsidRDefault="003B2406" w:rsidP="0006762B"/>
        </w:tc>
      </w:tr>
      <w:tr w:rsidR="003B2406" w:rsidRPr="005B56DA" w14:paraId="00BD08CB" w14:textId="77777777" w:rsidTr="00C905C4">
        <w:trPr>
          <w:trHeight w:val="680"/>
        </w:trPr>
        <w:tc>
          <w:tcPr>
            <w:tcW w:w="2851" w:type="dxa"/>
          </w:tcPr>
          <w:p w14:paraId="09A86983" w14:textId="77777777" w:rsidR="003B2406" w:rsidRPr="005B56DA" w:rsidRDefault="003B2406" w:rsidP="0006762B"/>
        </w:tc>
        <w:tc>
          <w:tcPr>
            <w:tcW w:w="1914" w:type="dxa"/>
          </w:tcPr>
          <w:p w14:paraId="7AB9577E" w14:textId="77777777" w:rsidR="003B2406" w:rsidRPr="005B56DA" w:rsidRDefault="003B2406" w:rsidP="0006762B"/>
        </w:tc>
        <w:tc>
          <w:tcPr>
            <w:tcW w:w="2100" w:type="dxa"/>
          </w:tcPr>
          <w:p w14:paraId="1CE48109" w14:textId="55D22A9B" w:rsidR="003B2406" w:rsidRPr="005B56DA" w:rsidRDefault="003B2406" w:rsidP="0006762B"/>
        </w:tc>
        <w:tc>
          <w:tcPr>
            <w:tcW w:w="2485" w:type="dxa"/>
          </w:tcPr>
          <w:p w14:paraId="053703D3" w14:textId="77777777" w:rsidR="003B2406" w:rsidRPr="005B56DA" w:rsidRDefault="003B2406" w:rsidP="0006762B"/>
        </w:tc>
      </w:tr>
    </w:tbl>
    <w:p w14:paraId="4654ABC5" w14:textId="77777777" w:rsidR="00AC5B06" w:rsidRPr="005B56DA" w:rsidRDefault="00AC5B06" w:rsidP="0006762B"/>
    <w:p w14:paraId="1C20B8B7" w14:textId="1C30E21A" w:rsidR="00962504" w:rsidRPr="005B56DA" w:rsidRDefault="001727BB" w:rsidP="00587B45">
      <w:pPr>
        <w:pStyle w:val="Heading3"/>
      </w:pPr>
      <w:r w:rsidRPr="005B56DA">
        <w:t>Progress</w:t>
      </w:r>
      <w:r w:rsidR="00962504" w:rsidRPr="005B56DA">
        <w:t xml:space="preserve"> to Date</w:t>
      </w:r>
    </w:p>
    <w:p w14:paraId="441FE182" w14:textId="3B634C53" w:rsidR="00266C06" w:rsidRPr="005B56DA" w:rsidRDefault="00266C06" w:rsidP="0006762B">
      <w:r w:rsidRPr="005B56DA">
        <w:t xml:space="preserve">Location xx has been working towards MAQ Compliance for the past xx years. </w:t>
      </w:r>
      <w:r w:rsidR="001727BB" w:rsidRPr="005B56DA">
        <w:t>Some of the previous improvements include</w:t>
      </w:r>
      <w:r w:rsidRPr="005B56DA">
        <w:t>:</w:t>
      </w:r>
    </w:p>
    <w:p w14:paraId="2CFAAEDF" w14:textId="665A7EEF" w:rsidR="00266C06" w:rsidRPr="0052423B" w:rsidRDefault="00266C06" w:rsidP="0052423B">
      <w:pPr>
        <w:pStyle w:val="ListParagraph"/>
        <w:numPr>
          <w:ilvl w:val="0"/>
          <w:numId w:val="11"/>
        </w:numPr>
      </w:pPr>
      <w:r w:rsidRPr="0052423B">
        <w:t xml:space="preserve">Outline efforts and resources deployed to ensure accurate chemical inventories to </w:t>
      </w:r>
      <w:proofErr w:type="gramStart"/>
      <w:r w:rsidRPr="0052423B">
        <w:t>date</w:t>
      </w:r>
      <w:r w:rsidR="009A1D81" w:rsidRPr="0052423B">
        <w:t>;</w:t>
      </w:r>
      <w:proofErr w:type="gramEnd"/>
    </w:p>
    <w:p w14:paraId="72DECEDA" w14:textId="49E6A927" w:rsidR="00266C06" w:rsidRPr="0052423B" w:rsidRDefault="00266C06" w:rsidP="0052423B">
      <w:pPr>
        <w:pStyle w:val="ListParagraph"/>
        <w:numPr>
          <w:ilvl w:val="0"/>
          <w:numId w:val="11"/>
        </w:numPr>
      </w:pPr>
      <w:r w:rsidRPr="0052423B">
        <w:t xml:space="preserve">Describe efforts and resources used to identify and validate control areas and other building </w:t>
      </w:r>
      <w:proofErr w:type="gramStart"/>
      <w:r w:rsidRPr="0052423B">
        <w:t>attributes</w:t>
      </w:r>
      <w:r w:rsidR="009A1D81" w:rsidRPr="0052423B">
        <w:t>;</w:t>
      </w:r>
      <w:proofErr w:type="gramEnd"/>
    </w:p>
    <w:p w14:paraId="6D5CB28E" w14:textId="2BB1B6E1" w:rsidR="00266C06" w:rsidRPr="0052423B" w:rsidRDefault="00266C06" w:rsidP="0052423B">
      <w:pPr>
        <w:pStyle w:val="ListParagraph"/>
        <w:numPr>
          <w:ilvl w:val="0"/>
          <w:numId w:val="11"/>
        </w:numPr>
      </w:pPr>
      <w:r w:rsidRPr="0052423B">
        <w:t>Highlight xx number of problematic buildings which were initially identified as non-compliant</w:t>
      </w:r>
      <w:r w:rsidR="009A1D81" w:rsidRPr="0052423B">
        <w:t>; and</w:t>
      </w:r>
    </w:p>
    <w:p w14:paraId="5CDC009D" w14:textId="5DD01DD4" w:rsidR="00251421" w:rsidRPr="0052423B" w:rsidRDefault="00266C06" w:rsidP="0052423B">
      <w:pPr>
        <w:pStyle w:val="ListParagraph"/>
        <w:numPr>
          <w:ilvl w:val="0"/>
          <w:numId w:val="11"/>
        </w:numPr>
      </w:pPr>
      <w:r w:rsidRPr="0052423B">
        <w:t>Describe improvement projects that successfully reduced MAQ overages</w:t>
      </w:r>
    </w:p>
    <w:p w14:paraId="0CE23B68" w14:textId="77777777" w:rsidR="00633236" w:rsidRPr="005B56DA" w:rsidRDefault="00633236" w:rsidP="0006762B">
      <w:pPr>
        <w:pStyle w:val="Heading2"/>
      </w:pPr>
      <w:bookmarkStart w:id="7" w:name="_Toc188448197"/>
      <w:r w:rsidRPr="005B56DA">
        <w:t>MAQ Compliance Strategies</w:t>
      </w:r>
      <w:bookmarkEnd w:id="7"/>
      <w:r w:rsidRPr="005B56DA">
        <w:t xml:space="preserve"> </w:t>
      </w:r>
    </w:p>
    <w:p w14:paraId="5D4516D4" w14:textId="4D12D5E5" w:rsidR="00243833" w:rsidRPr="00C359B7" w:rsidRDefault="00355642" w:rsidP="0006762B">
      <w:r w:rsidRPr="005B56DA">
        <w:t>C</w:t>
      </w:r>
      <w:r w:rsidR="00633236" w:rsidRPr="005B56DA">
        <w:t xml:space="preserve">ommon solutions are outlined </w:t>
      </w:r>
      <w:r w:rsidR="00F01696" w:rsidRPr="005B56DA">
        <w:t xml:space="preserve">in the document </w:t>
      </w:r>
      <w:r w:rsidRPr="005B56DA">
        <w:t xml:space="preserve">entitled </w:t>
      </w:r>
      <w:r w:rsidR="00F01696" w:rsidRPr="005B56DA">
        <w:t>MAQ Compliance Strategies</w:t>
      </w:r>
      <w:r w:rsidR="00633236" w:rsidRPr="005B56DA">
        <w:t xml:space="preserve">. </w:t>
      </w:r>
      <w:r w:rsidR="003B2CDC" w:rsidRPr="005B56DA">
        <w:t xml:space="preserve">The MAQ Taskforce Report also includes a comprehensive Toolbox of Solutions in Appendix C, which can complement these approaches. </w:t>
      </w:r>
    </w:p>
    <w:p w14:paraId="577A3295" w14:textId="5D8F4B35" w:rsidR="00FF559E" w:rsidRPr="005B56DA" w:rsidRDefault="00FF559E" w:rsidP="0006762B">
      <w:pPr>
        <w:pStyle w:val="Heading2"/>
      </w:pPr>
      <w:bookmarkStart w:id="8" w:name="_Toc188448198"/>
      <w:r w:rsidRPr="005B56DA">
        <w:lastRenderedPageBreak/>
        <w:t>Training Plan</w:t>
      </w:r>
      <w:bookmarkEnd w:id="8"/>
    </w:p>
    <w:p w14:paraId="68B68BEF" w14:textId="567E5A2D" w:rsidR="00FB4A86" w:rsidRPr="005B56DA" w:rsidRDefault="00243833" w:rsidP="0006762B">
      <w:r w:rsidRPr="005B56DA">
        <w:t xml:space="preserve">Campus stakeholders must receive training on the importance of Fire Code MAQ Compliance. </w:t>
      </w:r>
    </w:p>
    <w:p w14:paraId="3A416B0C" w14:textId="6E23FD62" w:rsidR="006C3243" w:rsidRPr="005B56DA" w:rsidRDefault="00355642" w:rsidP="0006762B">
      <w:r w:rsidRPr="005B56DA">
        <w:t>Training</w:t>
      </w:r>
      <w:r w:rsidR="006C3243" w:rsidRPr="005B56DA">
        <w:t xml:space="preserve"> developed</w:t>
      </w:r>
      <w:r w:rsidRPr="005B56DA">
        <w:t xml:space="preserve"> and implemented</w:t>
      </w:r>
      <w:r w:rsidR="006C3243" w:rsidRPr="005B56DA">
        <w:t xml:space="preserve"> by specific locations</w:t>
      </w:r>
      <w:r w:rsidRPr="005B56DA">
        <w:t xml:space="preserve"> can</w:t>
      </w:r>
      <w:r w:rsidR="006C3243" w:rsidRPr="005B56DA">
        <w:t xml:space="preserve"> include</w:t>
      </w:r>
      <w:r w:rsidR="00FB4A86" w:rsidRPr="005B56DA">
        <w:t xml:space="preserve">: </w:t>
      </w:r>
    </w:p>
    <w:p w14:paraId="0F1F88BE" w14:textId="7A67F81C" w:rsidR="006C3243" w:rsidRPr="0052423B" w:rsidRDefault="001727BB" w:rsidP="0052423B">
      <w:pPr>
        <w:pStyle w:val="ListParagraph"/>
        <w:numPr>
          <w:ilvl w:val="0"/>
          <w:numId w:val="12"/>
        </w:numPr>
      </w:pPr>
      <w:r w:rsidRPr="0052423B">
        <w:t xml:space="preserve">Publication of an </w:t>
      </w:r>
      <w:r w:rsidR="006C3243" w:rsidRPr="0052423B">
        <w:t xml:space="preserve">MAQ resources </w:t>
      </w:r>
      <w:r w:rsidR="00FB4A86" w:rsidRPr="0052423B">
        <w:t>website</w:t>
      </w:r>
    </w:p>
    <w:p w14:paraId="5CA16A47" w14:textId="5E112B2C" w:rsidR="006C3243" w:rsidRPr="0052423B" w:rsidRDefault="001727BB" w:rsidP="0052423B">
      <w:pPr>
        <w:pStyle w:val="ListParagraph"/>
        <w:numPr>
          <w:ilvl w:val="0"/>
          <w:numId w:val="12"/>
        </w:numPr>
      </w:pPr>
      <w:r w:rsidRPr="0052423B">
        <w:t>O</w:t>
      </w:r>
      <w:r w:rsidR="00FB4A86" w:rsidRPr="0052423B">
        <w:t>nline training</w:t>
      </w:r>
      <w:r w:rsidRPr="0052423B">
        <w:t xml:space="preserve"> (could include </w:t>
      </w:r>
      <w:r w:rsidR="006C3243" w:rsidRPr="0052423B">
        <w:t>general</w:t>
      </w:r>
      <w:r w:rsidRPr="0052423B">
        <w:t xml:space="preserve"> overview of concepts, information</w:t>
      </w:r>
      <w:r w:rsidR="006C3243" w:rsidRPr="0052423B">
        <w:t xml:space="preserve"> designed for target audiences</w:t>
      </w:r>
      <w:r w:rsidRPr="0052423B">
        <w:t>)</w:t>
      </w:r>
    </w:p>
    <w:p w14:paraId="732B8DE3" w14:textId="762187EF" w:rsidR="006C3243" w:rsidRPr="0052423B" w:rsidRDefault="001727BB" w:rsidP="0052423B">
      <w:pPr>
        <w:pStyle w:val="ListParagraph"/>
        <w:numPr>
          <w:ilvl w:val="0"/>
          <w:numId w:val="12"/>
        </w:numPr>
      </w:pPr>
      <w:r w:rsidRPr="0052423B">
        <w:t>S</w:t>
      </w:r>
      <w:r w:rsidR="00FB4A86" w:rsidRPr="0052423B">
        <w:t>eminars</w:t>
      </w:r>
    </w:p>
    <w:p w14:paraId="5F5647E8" w14:textId="75AE0033" w:rsidR="006C3243" w:rsidRPr="0052423B" w:rsidRDefault="001727BB" w:rsidP="0052423B">
      <w:pPr>
        <w:pStyle w:val="ListParagraph"/>
        <w:numPr>
          <w:ilvl w:val="0"/>
          <w:numId w:val="12"/>
        </w:numPr>
      </w:pPr>
      <w:r w:rsidRPr="0052423B">
        <w:t>T</w:t>
      </w:r>
      <w:r w:rsidR="00FB4A86" w:rsidRPr="0052423B">
        <w:t>own halls</w:t>
      </w:r>
    </w:p>
    <w:p w14:paraId="37E153FE" w14:textId="6BE1FC6A" w:rsidR="006C3243" w:rsidRPr="0052423B" w:rsidRDefault="00815CFF" w:rsidP="0052423B">
      <w:pPr>
        <w:pStyle w:val="ListParagraph"/>
        <w:numPr>
          <w:ilvl w:val="0"/>
          <w:numId w:val="12"/>
        </w:numPr>
      </w:pPr>
      <w:r w:rsidRPr="0052423B">
        <w:t>Use of g</w:t>
      </w:r>
      <w:r w:rsidR="006C3243" w:rsidRPr="0052423B">
        <w:t xml:space="preserve">uidance documents on </w:t>
      </w:r>
      <w:r w:rsidR="00BD08B4" w:rsidRPr="0052423B">
        <w:t>how to view</w:t>
      </w:r>
      <w:r w:rsidR="006C3243" w:rsidRPr="0052423B">
        <w:t xml:space="preserve"> chemical</w:t>
      </w:r>
      <w:r w:rsidR="00BD08B4" w:rsidRPr="0052423B">
        <w:t xml:space="preserve"> inventories (RSS</w:t>
      </w:r>
      <w:r w:rsidR="006C3243" w:rsidRPr="0052423B">
        <w:t xml:space="preserve"> Chemicals</w:t>
      </w:r>
      <w:r w:rsidR="00BD08B4" w:rsidRPr="0052423B">
        <w:t>)</w:t>
      </w:r>
    </w:p>
    <w:p w14:paraId="306CC05C" w14:textId="77777777" w:rsidR="00815CFF" w:rsidRPr="0052423B" w:rsidRDefault="00815CFF" w:rsidP="0052423B">
      <w:pPr>
        <w:pStyle w:val="ListParagraph"/>
        <w:numPr>
          <w:ilvl w:val="0"/>
          <w:numId w:val="12"/>
        </w:numPr>
      </w:pPr>
      <w:r w:rsidRPr="0052423B">
        <w:t>I</w:t>
      </w:r>
      <w:r w:rsidR="006C3243" w:rsidRPr="0052423B">
        <w:t xml:space="preserve">mplementation of </w:t>
      </w:r>
      <w:r w:rsidR="00BD08B4" w:rsidRPr="0052423B">
        <w:t>administrative control</w:t>
      </w:r>
      <w:r w:rsidR="006C3243" w:rsidRPr="0052423B">
        <w:t>s</w:t>
      </w:r>
    </w:p>
    <w:p w14:paraId="3BCBD85F" w14:textId="74B1EAF8" w:rsidR="006C3243" w:rsidRPr="0052423B" w:rsidRDefault="00815CFF" w:rsidP="0052423B">
      <w:pPr>
        <w:pStyle w:val="ListParagraph"/>
        <w:numPr>
          <w:ilvl w:val="0"/>
          <w:numId w:val="12"/>
        </w:numPr>
      </w:pPr>
      <w:r w:rsidRPr="0052423B">
        <w:t xml:space="preserve">Provide and/or Require </w:t>
      </w:r>
      <w:r w:rsidR="006C3243" w:rsidRPr="0052423B">
        <w:t xml:space="preserve">project </w:t>
      </w:r>
      <w:r w:rsidR="00BD08B4" w:rsidRPr="0052423B">
        <w:t>design guidelines</w:t>
      </w:r>
    </w:p>
    <w:p w14:paraId="5F2CB598" w14:textId="7E9B6A5E" w:rsidR="006C3243" w:rsidRPr="0052423B" w:rsidRDefault="00815CFF" w:rsidP="0052423B">
      <w:pPr>
        <w:pStyle w:val="ListParagraph"/>
        <w:numPr>
          <w:ilvl w:val="0"/>
          <w:numId w:val="12"/>
        </w:numPr>
      </w:pPr>
      <w:r w:rsidRPr="0052423B">
        <w:t>L</w:t>
      </w:r>
      <w:r w:rsidR="00BD08B4" w:rsidRPr="0052423B">
        <w:t>ab safety inspections</w:t>
      </w:r>
    </w:p>
    <w:p w14:paraId="18A7AB09" w14:textId="75988E03" w:rsidR="0091594C" w:rsidRPr="0052423B" w:rsidRDefault="00815CFF" w:rsidP="0052423B">
      <w:pPr>
        <w:pStyle w:val="ListParagraph"/>
        <w:numPr>
          <w:ilvl w:val="0"/>
          <w:numId w:val="12"/>
        </w:numPr>
      </w:pPr>
      <w:r w:rsidRPr="0052423B">
        <w:t>W</w:t>
      </w:r>
      <w:r w:rsidR="00C34B2C" w:rsidRPr="0052423B">
        <w:t>ebinar</w:t>
      </w:r>
      <w:r w:rsidR="006C3243" w:rsidRPr="0052423B">
        <w:t>s</w:t>
      </w:r>
      <w:r w:rsidRPr="0052423B">
        <w:t xml:space="preserve"> (e.g., applying approved storage, fire resistance rated assemblies)</w:t>
      </w:r>
    </w:p>
    <w:p w14:paraId="29C91787" w14:textId="29A3B0F3" w:rsidR="00006B1B" w:rsidRPr="005B56DA" w:rsidRDefault="00362A88" w:rsidP="0006762B">
      <w:pPr>
        <w:pStyle w:val="Heading2"/>
      </w:pPr>
      <w:bookmarkStart w:id="9" w:name="_Toc188448199"/>
      <w:r w:rsidRPr="005B56DA">
        <w:t>Corrective Actions</w:t>
      </w:r>
      <w:r w:rsidR="001702DA" w:rsidRPr="005B56DA">
        <w:t xml:space="preserve"> and Funding Plan</w:t>
      </w:r>
      <w:bookmarkEnd w:id="9"/>
    </w:p>
    <w:p w14:paraId="13E5DCF7" w14:textId="17AC3AC5" w:rsidR="00920EE2" w:rsidRPr="005B56DA" w:rsidRDefault="00F92224" w:rsidP="0006762B">
      <w:r w:rsidRPr="005B56DA">
        <w:t>H</w:t>
      </w:r>
      <w:r w:rsidR="00BF6F44" w:rsidRPr="005B56DA">
        <w:t xml:space="preserve">igh priority fixes – </w:t>
      </w:r>
      <w:r w:rsidR="00920EE2" w:rsidRPr="005B56DA">
        <w:t xml:space="preserve">Describe method for prioritizing fixes. Some options may include: </w:t>
      </w:r>
    </w:p>
    <w:p w14:paraId="0DAE2EB5" w14:textId="4721A0F6" w:rsidR="00920EE2" w:rsidRPr="005B56DA" w:rsidRDefault="00920EE2" w:rsidP="0006762B">
      <w:pPr>
        <w:pStyle w:val="ListParagraph"/>
        <w:numPr>
          <w:ilvl w:val="0"/>
          <w:numId w:val="7"/>
        </w:numPr>
      </w:pPr>
      <w:r w:rsidRPr="005B56DA">
        <w:t xml:space="preserve">Target </w:t>
      </w:r>
      <w:r w:rsidR="00BF6F44" w:rsidRPr="005B56DA">
        <w:t>high hazard chemicals</w:t>
      </w:r>
      <w:r w:rsidR="00815CFF" w:rsidRPr="005B56DA">
        <w:t xml:space="preserve"> (e.g., </w:t>
      </w:r>
      <w:proofErr w:type="spellStart"/>
      <w:r w:rsidR="00815CFF" w:rsidRPr="005B56DA">
        <w:t>pyrophorics</w:t>
      </w:r>
      <w:proofErr w:type="spellEnd"/>
      <w:r w:rsidR="00815CFF" w:rsidRPr="005B56DA">
        <w:t xml:space="preserve"> or explosives in </w:t>
      </w:r>
      <w:proofErr w:type="spellStart"/>
      <w:r w:rsidR="00815CFF" w:rsidRPr="005B56DA">
        <w:t>unsprinklered</w:t>
      </w:r>
      <w:proofErr w:type="spellEnd"/>
      <w:r w:rsidR="00815CFF" w:rsidRPr="005B56DA">
        <w:t xml:space="preserve"> buildings) </w:t>
      </w:r>
    </w:p>
    <w:p w14:paraId="17942EB2" w14:textId="599858F5" w:rsidR="00920EE2" w:rsidRPr="005B56DA" w:rsidRDefault="00920EE2" w:rsidP="0006762B">
      <w:pPr>
        <w:pStyle w:val="ListParagraph"/>
        <w:numPr>
          <w:ilvl w:val="0"/>
          <w:numId w:val="7"/>
        </w:numPr>
      </w:pPr>
      <w:r w:rsidRPr="005B56DA">
        <w:t xml:space="preserve">Focus efforts on </w:t>
      </w:r>
      <w:r w:rsidR="00BF6F44" w:rsidRPr="005B56DA">
        <w:t>heavy chemical use areas</w:t>
      </w:r>
    </w:p>
    <w:p w14:paraId="0F2F4400" w14:textId="1655F8E5" w:rsidR="00BF6F44" w:rsidRPr="005B56DA" w:rsidRDefault="00920EE2" w:rsidP="0006762B">
      <w:pPr>
        <w:pStyle w:val="ListParagraph"/>
        <w:numPr>
          <w:ilvl w:val="0"/>
          <w:numId w:val="7"/>
        </w:numPr>
      </w:pPr>
      <w:r w:rsidRPr="005B56DA">
        <w:t xml:space="preserve">Identify </w:t>
      </w:r>
      <w:r w:rsidR="00BF6F44" w:rsidRPr="005B56DA">
        <w:t>chemical storage</w:t>
      </w:r>
      <w:r w:rsidRPr="005B56DA">
        <w:t xml:space="preserve"> gaps </w:t>
      </w:r>
    </w:p>
    <w:p w14:paraId="0BD61269" w14:textId="67236540" w:rsidR="00920EE2" w:rsidRPr="005B56DA" w:rsidRDefault="00920EE2" w:rsidP="0006762B">
      <w:pPr>
        <w:pStyle w:val="ListParagraph"/>
        <w:numPr>
          <w:ilvl w:val="0"/>
          <w:numId w:val="7"/>
        </w:numPr>
      </w:pPr>
      <w:r w:rsidRPr="005B56DA">
        <w:t>Target significant overages</w:t>
      </w:r>
      <w:r w:rsidR="00815CFF" w:rsidRPr="005B56DA">
        <w:t xml:space="preserve"> (&gt;2x MAQ)</w:t>
      </w:r>
    </w:p>
    <w:p w14:paraId="6701E2BD" w14:textId="77777777" w:rsidR="0091594C" w:rsidRPr="005B56DA" w:rsidRDefault="0091594C" w:rsidP="0006762B">
      <w:r w:rsidRPr="005B56DA">
        <w:t>Describe plan for purchasing approved storage cabinets</w:t>
      </w:r>
    </w:p>
    <w:p w14:paraId="076A1F50" w14:textId="48D0F2ED" w:rsidR="0091594C" w:rsidRPr="005B56DA" w:rsidRDefault="0091594C" w:rsidP="0006762B">
      <w:r w:rsidRPr="005B56DA">
        <w:t>Staffing support</w:t>
      </w:r>
      <w:r w:rsidR="00F81CC0" w:rsidRPr="005B56DA">
        <w:t xml:space="preserve"> (examples)</w:t>
      </w:r>
      <w:r w:rsidRPr="005B56DA">
        <w:t xml:space="preserve">: </w:t>
      </w:r>
    </w:p>
    <w:p w14:paraId="56CF23D8" w14:textId="24F7EE96" w:rsidR="0091594C" w:rsidRPr="005B56DA" w:rsidRDefault="0091594C" w:rsidP="0006762B">
      <w:pPr>
        <w:pStyle w:val="ListParagraph"/>
        <w:numPr>
          <w:ilvl w:val="0"/>
          <w:numId w:val="5"/>
        </w:numPr>
      </w:pPr>
      <w:r w:rsidRPr="005B56DA">
        <w:rPr>
          <w:b/>
          <w:bCs/>
        </w:rPr>
        <w:t>Fire Prevention</w:t>
      </w:r>
      <w:r w:rsidRPr="005B56DA">
        <w:t xml:space="preserve"> – funding for </w:t>
      </w:r>
      <w:r w:rsidR="00243833" w:rsidRPr="005B56DA">
        <w:t xml:space="preserve">xx </w:t>
      </w:r>
      <w:r w:rsidRPr="005B56DA">
        <w:t>full time position</w:t>
      </w:r>
      <w:r w:rsidR="00243833" w:rsidRPr="005B56DA">
        <w:t>(s)</w:t>
      </w:r>
      <w:r w:rsidRPr="005B56DA">
        <w:t xml:space="preserve"> to </w:t>
      </w:r>
      <w:r w:rsidR="00C03D2C" w:rsidRPr="005B56DA">
        <w:t>analyze control areas, review MAQs, inspect high hazard areas, create MAQ reports, provide guidance on methods for achieving MAQ compliance</w:t>
      </w:r>
    </w:p>
    <w:p w14:paraId="4C238034" w14:textId="4802DA88" w:rsidR="00C03D2C" w:rsidRPr="005B56DA" w:rsidRDefault="00C03D2C" w:rsidP="0006762B">
      <w:pPr>
        <w:pStyle w:val="ListParagraph"/>
        <w:numPr>
          <w:ilvl w:val="0"/>
          <w:numId w:val="5"/>
        </w:numPr>
      </w:pPr>
      <w:r w:rsidRPr="005B56DA">
        <w:rPr>
          <w:b/>
          <w:bCs/>
        </w:rPr>
        <w:t xml:space="preserve">EH&amp;S </w:t>
      </w:r>
      <w:r w:rsidRPr="005B56DA">
        <w:t>– outline responsibilities and funding model to support EH&amp;S for regular Inspections of la</w:t>
      </w:r>
      <w:r w:rsidR="00243833" w:rsidRPr="005B56DA">
        <w:t>b</w:t>
      </w:r>
      <w:r w:rsidRPr="005B56DA">
        <w:t>s and Reconciliation efforts</w:t>
      </w:r>
      <w:r w:rsidR="00815CFF" w:rsidRPr="005B56DA">
        <w:t xml:space="preserve"> (verifying chemical inventories are accurate)</w:t>
      </w:r>
      <w:r w:rsidR="00243833" w:rsidRPr="005B56DA">
        <w:t>. If EH&amp;S will not be conducting regular reconciliations, outline how this will be accomplished to maintain accurate inventories.</w:t>
      </w:r>
    </w:p>
    <w:p w14:paraId="6E57B315" w14:textId="6D6ECB1D" w:rsidR="00C03D2C" w:rsidRPr="005B56DA" w:rsidRDefault="00C03D2C" w:rsidP="0006762B">
      <w:pPr>
        <w:pStyle w:val="ListParagraph"/>
        <w:numPr>
          <w:ilvl w:val="0"/>
          <w:numId w:val="5"/>
        </w:numPr>
      </w:pPr>
      <w:r w:rsidRPr="005B56DA">
        <w:rPr>
          <w:b/>
          <w:bCs/>
        </w:rPr>
        <w:t xml:space="preserve">Training </w:t>
      </w:r>
      <w:r w:rsidRPr="005B56DA">
        <w:t xml:space="preserve">– </w:t>
      </w:r>
      <w:r w:rsidR="00243833" w:rsidRPr="005B56DA">
        <w:t xml:space="preserve">Development, </w:t>
      </w:r>
      <w:r w:rsidRPr="005B56DA">
        <w:t>Implementation</w:t>
      </w:r>
      <w:r w:rsidR="00243833" w:rsidRPr="005B56DA">
        <w:t>,</w:t>
      </w:r>
      <w:r w:rsidRPr="005B56DA">
        <w:t xml:space="preserve"> and </w:t>
      </w:r>
      <w:r w:rsidR="00243833" w:rsidRPr="005B56DA">
        <w:t>D</w:t>
      </w:r>
      <w:r w:rsidRPr="005B56DA">
        <w:t>istribution of training required by all affected stakeholders</w:t>
      </w:r>
    </w:p>
    <w:p w14:paraId="049160B0" w14:textId="6FD22228" w:rsidR="00C03D2C" w:rsidRPr="005B56DA" w:rsidRDefault="00C03D2C" w:rsidP="0006762B">
      <w:r w:rsidRPr="005B56DA">
        <w:t>Hazardous Waste removal</w:t>
      </w:r>
      <w:r w:rsidR="00243833" w:rsidRPr="005B56DA">
        <w:t xml:space="preserve"> – outline costs and funding allocated. </w:t>
      </w:r>
    </w:p>
    <w:p w14:paraId="199F23FF" w14:textId="2C8B4D71" w:rsidR="00815CFF" w:rsidRPr="005B56DA" w:rsidRDefault="00307ED1" w:rsidP="0006762B">
      <w:r w:rsidRPr="005B56DA">
        <w:t xml:space="preserve">Identify buildings that would benefit from building </w:t>
      </w:r>
      <w:r w:rsidR="00815CFF" w:rsidRPr="005B56DA">
        <w:t xml:space="preserve">improvement </w:t>
      </w:r>
      <w:r w:rsidR="00255973">
        <w:t xml:space="preserve">construction </w:t>
      </w:r>
      <w:r w:rsidR="00815CFF" w:rsidRPr="005B56DA">
        <w:t xml:space="preserve">projects. Examples: </w:t>
      </w:r>
    </w:p>
    <w:p w14:paraId="4BF36546" w14:textId="27ABDD28" w:rsidR="00815CFF" w:rsidRPr="005B56DA" w:rsidRDefault="00815CFF" w:rsidP="0006762B">
      <w:pPr>
        <w:pStyle w:val="ListParagraph"/>
        <w:numPr>
          <w:ilvl w:val="0"/>
          <w:numId w:val="10"/>
        </w:numPr>
      </w:pPr>
      <w:r w:rsidRPr="005B56DA">
        <w:t>A</w:t>
      </w:r>
      <w:r w:rsidR="00307ED1" w:rsidRPr="005B56DA">
        <w:t>dd or improve sprinkler coverage</w:t>
      </w:r>
      <w:r w:rsidRPr="005B56DA">
        <w:t xml:space="preserve"> </w:t>
      </w:r>
    </w:p>
    <w:p w14:paraId="0AE6F165" w14:textId="384722C4" w:rsidR="00815CFF" w:rsidRPr="005B56DA" w:rsidRDefault="00815CFF" w:rsidP="0006762B">
      <w:pPr>
        <w:pStyle w:val="ListParagraph"/>
        <w:numPr>
          <w:ilvl w:val="0"/>
          <w:numId w:val="10"/>
        </w:numPr>
      </w:pPr>
      <w:r w:rsidRPr="005B56DA">
        <w:lastRenderedPageBreak/>
        <w:t>Repair or renovate existing fire barriers or fire walls (and openings) that are non-compliant</w:t>
      </w:r>
    </w:p>
    <w:p w14:paraId="0E644DFB" w14:textId="77777777" w:rsidR="00815CFF" w:rsidRPr="005B56DA" w:rsidRDefault="00815CFF" w:rsidP="0006762B">
      <w:pPr>
        <w:pStyle w:val="ListParagraph"/>
        <w:numPr>
          <w:ilvl w:val="0"/>
          <w:numId w:val="10"/>
        </w:numPr>
      </w:pPr>
      <w:r w:rsidRPr="005B56DA">
        <w:t>Create additional</w:t>
      </w:r>
      <w:r w:rsidR="00307ED1" w:rsidRPr="005B56DA">
        <w:t xml:space="preserve"> control areas</w:t>
      </w:r>
      <w:r w:rsidRPr="005B56DA">
        <w:t xml:space="preserve"> by c</w:t>
      </w:r>
      <w:r w:rsidR="00243833" w:rsidRPr="005B56DA">
        <w:t>onstruct</w:t>
      </w:r>
      <w:r w:rsidRPr="005B56DA">
        <w:t>ing</w:t>
      </w:r>
      <w:r w:rsidR="00243833" w:rsidRPr="005B56DA">
        <w:t xml:space="preserve"> fire barriers or fire walls</w:t>
      </w:r>
    </w:p>
    <w:p w14:paraId="263DB094" w14:textId="71A916D0" w:rsidR="00815CFF" w:rsidRPr="005B56DA" w:rsidRDefault="00563D5C" w:rsidP="0006762B">
      <w:pPr>
        <w:pStyle w:val="ListParagraph"/>
        <w:numPr>
          <w:ilvl w:val="0"/>
          <w:numId w:val="10"/>
        </w:numPr>
      </w:pPr>
      <w:r w:rsidRPr="005B56DA">
        <w:t>Convert fire partitions to fire barriers to add additional control areas</w:t>
      </w:r>
    </w:p>
    <w:p w14:paraId="3DFD5515" w14:textId="6A241D47" w:rsidR="00307ED1" w:rsidRPr="005B56DA" w:rsidRDefault="009E6309" w:rsidP="0006762B">
      <w:pPr>
        <w:pStyle w:val="ListParagraph"/>
        <w:numPr>
          <w:ilvl w:val="0"/>
          <w:numId w:val="10"/>
        </w:numPr>
      </w:pPr>
      <w:r>
        <w:t>Initiate major construction renovation to c</w:t>
      </w:r>
      <w:r w:rsidR="00307ED1" w:rsidRPr="005B56DA">
        <w:t>onvert Group B occupancies to Group H or Group L occupancies.</w:t>
      </w:r>
      <w:r w:rsidR="0091594C" w:rsidRPr="005B56DA">
        <w:t xml:space="preserve"> Provide funding plan for construction</w:t>
      </w:r>
      <w:r w:rsidR="00563D5C" w:rsidRPr="005B56DA">
        <w:t>.</w:t>
      </w:r>
    </w:p>
    <w:p w14:paraId="3B884C99" w14:textId="70E07373" w:rsidR="004E3AE1" w:rsidRPr="0028359C" w:rsidRDefault="009E6309" w:rsidP="0028359C">
      <w:pPr>
        <w:pStyle w:val="ListParagraph"/>
        <w:numPr>
          <w:ilvl w:val="0"/>
          <w:numId w:val="10"/>
        </w:numPr>
      </w:pPr>
      <w:r>
        <w:t xml:space="preserve">Initiate major construction renovation to </w:t>
      </w:r>
      <w:r>
        <w:t>a</w:t>
      </w:r>
      <w:r w:rsidR="00563D5C" w:rsidRPr="005B56DA">
        <w:t>dd Group H rooms to high chemical use areas</w:t>
      </w:r>
    </w:p>
    <w:p w14:paraId="569EE4D9" w14:textId="78BB1101" w:rsidR="00251421" w:rsidRPr="00C359B7" w:rsidRDefault="00251421" w:rsidP="0006762B">
      <w:pPr>
        <w:pStyle w:val="Heading2"/>
      </w:pPr>
      <w:bookmarkStart w:id="10" w:name="_Toc188448200"/>
      <w:r w:rsidRPr="00C359B7">
        <w:t xml:space="preserve">Implementation of </w:t>
      </w:r>
      <w:r w:rsidR="001111D5" w:rsidRPr="00C359B7">
        <w:t>MAQ Compliance</w:t>
      </w:r>
      <w:r w:rsidRPr="00C359B7">
        <w:t xml:space="preserve"> </w:t>
      </w:r>
      <w:r w:rsidR="001702DA" w:rsidRPr="00C359B7">
        <w:t>M</w:t>
      </w:r>
      <w:r w:rsidRPr="00C359B7">
        <w:t>easures</w:t>
      </w:r>
      <w:r w:rsidR="00362A88" w:rsidRPr="00C359B7">
        <w:t xml:space="preserve"> </w:t>
      </w:r>
      <w:r w:rsidR="00FF559E" w:rsidRPr="00C359B7">
        <w:t>–</w:t>
      </w:r>
      <w:r w:rsidR="00362A88" w:rsidRPr="00C359B7">
        <w:t xml:space="preserve"> Schedule</w:t>
      </w:r>
      <w:r w:rsidR="00FF559E" w:rsidRPr="00C359B7">
        <w:t xml:space="preserve"> and Milestones</w:t>
      </w:r>
      <w:bookmarkEnd w:id="10"/>
    </w:p>
    <w:p w14:paraId="327A5732" w14:textId="67981A54" w:rsidR="00DA491D" w:rsidRPr="005B56DA" w:rsidRDefault="00604507" w:rsidP="00DC73C1">
      <w:pPr>
        <w:pStyle w:val="ListParagraph"/>
        <w:numPr>
          <w:ilvl w:val="0"/>
          <w:numId w:val="6"/>
        </w:numPr>
      </w:pPr>
      <w:r w:rsidRPr="005B56DA">
        <w:rPr>
          <w:b/>
          <w:bCs/>
        </w:rPr>
        <w:t>Name of Building 1</w:t>
      </w:r>
      <w:r w:rsidR="003D0558" w:rsidRPr="005B56DA">
        <w:rPr>
          <w:b/>
          <w:bCs/>
        </w:rPr>
        <w:t>:</w:t>
      </w:r>
      <w:r w:rsidR="00497D95" w:rsidRPr="005B56DA">
        <w:t xml:space="preserve"> </w:t>
      </w:r>
      <w:r w:rsidR="00F23221" w:rsidRPr="005B56DA">
        <w:t xml:space="preserve"> </w:t>
      </w:r>
      <w:r w:rsidR="00F23221" w:rsidRPr="0028359C">
        <w:rPr>
          <w:color w:val="BFBFBF" w:themeColor="background1" w:themeShade="BF"/>
        </w:rPr>
        <w:t xml:space="preserve">Building X </w:t>
      </w:r>
      <w:r w:rsidR="003D0558" w:rsidRPr="005B56DA">
        <w:br/>
      </w:r>
      <w:r w:rsidR="00DC73C1">
        <w:rPr>
          <w:b/>
          <w:bCs/>
        </w:rPr>
        <w:br/>
      </w:r>
      <w:r w:rsidR="003D0558" w:rsidRPr="005B56DA">
        <w:rPr>
          <w:b/>
          <w:bCs/>
        </w:rPr>
        <w:t>Narrative:</w:t>
      </w:r>
      <w:r w:rsidR="003D0558" w:rsidRPr="005B56DA">
        <w:t xml:space="preserve"> </w:t>
      </w:r>
      <w:r w:rsidR="00F23221" w:rsidRPr="0028359C">
        <w:rPr>
          <w:color w:val="BFBFBF" w:themeColor="background1" w:themeShade="BF"/>
        </w:rPr>
        <w:t xml:space="preserve">Building X is a fully sprinklered 4-story building of type IA construction. It consists of 4 control areas (CA1, CA2, CA3, CA4). It is primarily Group B occupancy with one classroom (Group A-3) space. The primary department occupying Building X is Biology and most of the space consists of laboratories. </w:t>
      </w:r>
      <w:r w:rsidR="004E3AE1">
        <w:br/>
      </w:r>
    </w:p>
    <w:tbl>
      <w:tblPr>
        <w:tblStyle w:val="TableGrid"/>
        <w:tblW w:w="0" w:type="auto"/>
        <w:tblInd w:w="720" w:type="dxa"/>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ayout w:type="fixed"/>
        <w:tblLook w:val="04A0" w:firstRow="1" w:lastRow="0" w:firstColumn="1" w:lastColumn="0" w:noHBand="0" w:noVBand="1"/>
      </w:tblPr>
      <w:tblGrid>
        <w:gridCol w:w="1345"/>
        <w:gridCol w:w="1356"/>
        <w:gridCol w:w="1292"/>
        <w:gridCol w:w="1243"/>
        <w:gridCol w:w="1281"/>
        <w:gridCol w:w="1207"/>
        <w:gridCol w:w="906"/>
      </w:tblGrid>
      <w:tr w:rsidR="0097746A" w:rsidRPr="005B56DA" w14:paraId="25EEFDCA" w14:textId="77777777" w:rsidTr="00905BD6">
        <w:trPr>
          <w:trHeight w:val="1214"/>
        </w:trPr>
        <w:tc>
          <w:tcPr>
            <w:tcW w:w="1345" w:type="dxa"/>
            <w:shd w:val="clear" w:color="auto" w:fill="1295D8"/>
            <w:vAlign w:val="center"/>
          </w:tcPr>
          <w:p w14:paraId="36F44792" w14:textId="30C19111" w:rsidR="00DA491D" w:rsidRPr="00C905C4" w:rsidRDefault="00DA491D" w:rsidP="00325B63">
            <w:pPr>
              <w:spacing w:after="0"/>
              <w:jc w:val="center"/>
              <w:rPr>
                <w:b/>
                <w:bCs/>
                <w:color w:val="FFFFFF" w:themeColor="background1"/>
              </w:rPr>
            </w:pPr>
            <w:r w:rsidRPr="00C905C4">
              <w:rPr>
                <w:b/>
                <w:bCs/>
                <w:color w:val="FFFFFF" w:themeColor="background1"/>
              </w:rPr>
              <w:t xml:space="preserve">Hazard Category </w:t>
            </w:r>
            <w:r w:rsidR="00325B63" w:rsidRPr="00C905C4">
              <w:rPr>
                <w:b/>
                <w:bCs/>
                <w:color w:val="FFFFFF" w:themeColor="background1"/>
              </w:rPr>
              <w:br/>
            </w:r>
            <w:r w:rsidRPr="00C905C4">
              <w:rPr>
                <w:b/>
                <w:bCs/>
                <w:color w:val="FFFFFF" w:themeColor="background1"/>
              </w:rPr>
              <w:t>(+ control area)</w:t>
            </w:r>
          </w:p>
        </w:tc>
        <w:tc>
          <w:tcPr>
            <w:tcW w:w="7285" w:type="dxa"/>
            <w:gridSpan w:val="6"/>
            <w:shd w:val="clear" w:color="auto" w:fill="1295D8"/>
            <w:vAlign w:val="center"/>
          </w:tcPr>
          <w:p w14:paraId="29EA8B4E" w14:textId="30560FFD" w:rsidR="00DA491D" w:rsidRPr="00C905C4" w:rsidRDefault="00DA491D" w:rsidP="00325B63">
            <w:pPr>
              <w:spacing w:after="0"/>
              <w:jc w:val="center"/>
              <w:rPr>
                <w:b/>
                <w:bCs/>
                <w:color w:val="FFFFFF" w:themeColor="background1"/>
              </w:rPr>
            </w:pPr>
            <w:r w:rsidRPr="00C905C4">
              <w:rPr>
                <w:b/>
                <w:bCs/>
                <w:color w:val="FFFFFF" w:themeColor="background1"/>
              </w:rPr>
              <w:t>Approach</w:t>
            </w:r>
          </w:p>
        </w:tc>
      </w:tr>
      <w:tr w:rsidR="0097746A" w:rsidRPr="005B56DA" w14:paraId="259A1075" w14:textId="77777777" w:rsidTr="00681AF7">
        <w:trPr>
          <w:trHeight w:val="1034"/>
        </w:trPr>
        <w:tc>
          <w:tcPr>
            <w:tcW w:w="1345" w:type="dxa"/>
            <w:shd w:val="clear" w:color="auto" w:fill="D9D9D9" w:themeFill="background1" w:themeFillShade="D9"/>
            <w:vAlign w:val="center"/>
          </w:tcPr>
          <w:p w14:paraId="5C8AE8AD" w14:textId="77777777" w:rsidR="00DA491D" w:rsidRPr="00325B63" w:rsidRDefault="00DA491D" w:rsidP="00325B63">
            <w:pPr>
              <w:spacing w:after="0"/>
              <w:jc w:val="center"/>
              <w:rPr>
                <w:b/>
                <w:bCs/>
              </w:rPr>
            </w:pPr>
          </w:p>
        </w:tc>
        <w:tc>
          <w:tcPr>
            <w:tcW w:w="1356" w:type="dxa"/>
            <w:shd w:val="clear" w:color="auto" w:fill="D9D9D9" w:themeFill="background1" w:themeFillShade="D9"/>
            <w:vAlign w:val="center"/>
          </w:tcPr>
          <w:p w14:paraId="580D1AD3" w14:textId="3DCDC2A6" w:rsidR="00DA491D" w:rsidRPr="00905BD6" w:rsidRDefault="00DA491D" w:rsidP="00325B63">
            <w:pPr>
              <w:spacing w:after="0"/>
              <w:jc w:val="center"/>
              <w:rPr>
                <w:b/>
                <w:bCs/>
                <w:sz w:val="21"/>
                <w:szCs w:val="21"/>
              </w:rPr>
            </w:pPr>
            <w:r w:rsidRPr="00905BD6">
              <w:rPr>
                <w:b/>
                <w:bCs/>
                <w:sz w:val="21"/>
                <w:szCs w:val="21"/>
              </w:rPr>
              <w:t>Estimated date of completion</w:t>
            </w:r>
          </w:p>
        </w:tc>
        <w:tc>
          <w:tcPr>
            <w:tcW w:w="1292" w:type="dxa"/>
            <w:shd w:val="clear" w:color="auto" w:fill="D9D9D9" w:themeFill="background1" w:themeFillShade="D9"/>
            <w:vAlign w:val="center"/>
          </w:tcPr>
          <w:p w14:paraId="09CAF2AA" w14:textId="56EB3BBB" w:rsidR="00DA491D" w:rsidRPr="00905BD6" w:rsidRDefault="00DA491D" w:rsidP="00325B63">
            <w:pPr>
              <w:spacing w:after="0"/>
              <w:jc w:val="center"/>
              <w:rPr>
                <w:b/>
                <w:bCs/>
                <w:sz w:val="21"/>
                <w:szCs w:val="21"/>
              </w:rPr>
            </w:pPr>
            <w:r w:rsidRPr="00905BD6">
              <w:rPr>
                <w:b/>
                <w:bCs/>
                <w:sz w:val="21"/>
                <w:szCs w:val="21"/>
              </w:rPr>
              <w:t>Reduce Quantities</w:t>
            </w:r>
          </w:p>
        </w:tc>
        <w:tc>
          <w:tcPr>
            <w:tcW w:w="1243" w:type="dxa"/>
            <w:shd w:val="clear" w:color="auto" w:fill="D9D9D9" w:themeFill="background1" w:themeFillShade="D9"/>
            <w:vAlign w:val="center"/>
          </w:tcPr>
          <w:p w14:paraId="49CC0759" w14:textId="5ED2BCA6" w:rsidR="00DA491D" w:rsidRPr="00905BD6" w:rsidRDefault="00DA491D" w:rsidP="00325B63">
            <w:pPr>
              <w:spacing w:after="0"/>
              <w:jc w:val="center"/>
              <w:rPr>
                <w:b/>
                <w:bCs/>
                <w:sz w:val="21"/>
                <w:szCs w:val="21"/>
              </w:rPr>
            </w:pPr>
            <w:r w:rsidRPr="00905BD6">
              <w:rPr>
                <w:b/>
                <w:bCs/>
                <w:sz w:val="21"/>
                <w:szCs w:val="21"/>
              </w:rPr>
              <w:t>Approved storage</w:t>
            </w:r>
          </w:p>
        </w:tc>
        <w:tc>
          <w:tcPr>
            <w:tcW w:w="1281" w:type="dxa"/>
            <w:shd w:val="clear" w:color="auto" w:fill="D9D9D9" w:themeFill="background1" w:themeFillShade="D9"/>
            <w:vAlign w:val="center"/>
          </w:tcPr>
          <w:p w14:paraId="3342C5E3" w14:textId="67EADFAC" w:rsidR="00DA491D" w:rsidRPr="00905BD6" w:rsidRDefault="00DA491D" w:rsidP="00325B63">
            <w:pPr>
              <w:spacing w:after="0"/>
              <w:jc w:val="center"/>
              <w:rPr>
                <w:b/>
                <w:bCs/>
                <w:sz w:val="21"/>
                <w:szCs w:val="21"/>
              </w:rPr>
            </w:pPr>
            <w:r w:rsidRPr="00905BD6">
              <w:rPr>
                <w:b/>
                <w:bCs/>
                <w:sz w:val="21"/>
                <w:szCs w:val="21"/>
              </w:rPr>
              <w:t>Move chemicals</w:t>
            </w:r>
          </w:p>
        </w:tc>
        <w:tc>
          <w:tcPr>
            <w:tcW w:w="1207" w:type="dxa"/>
            <w:shd w:val="clear" w:color="auto" w:fill="D9D9D9" w:themeFill="background1" w:themeFillShade="D9"/>
            <w:vAlign w:val="center"/>
          </w:tcPr>
          <w:p w14:paraId="23AE662A" w14:textId="2DD9117E" w:rsidR="00DA491D" w:rsidRPr="00905BD6" w:rsidRDefault="00DA491D" w:rsidP="00325B63">
            <w:pPr>
              <w:spacing w:after="0"/>
              <w:jc w:val="center"/>
              <w:rPr>
                <w:b/>
                <w:bCs/>
                <w:sz w:val="21"/>
                <w:szCs w:val="21"/>
              </w:rPr>
            </w:pPr>
            <w:r w:rsidRPr="00905BD6">
              <w:rPr>
                <w:b/>
                <w:bCs/>
                <w:sz w:val="21"/>
                <w:szCs w:val="21"/>
              </w:rPr>
              <w:t>Building upgrades</w:t>
            </w:r>
          </w:p>
        </w:tc>
        <w:tc>
          <w:tcPr>
            <w:tcW w:w="906" w:type="dxa"/>
            <w:shd w:val="clear" w:color="auto" w:fill="D9D9D9" w:themeFill="background1" w:themeFillShade="D9"/>
            <w:vAlign w:val="center"/>
          </w:tcPr>
          <w:p w14:paraId="749224C8" w14:textId="675AD6C5" w:rsidR="00DA491D" w:rsidRPr="00905BD6" w:rsidRDefault="00DA491D" w:rsidP="00325B63">
            <w:pPr>
              <w:spacing w:after="0"/>
              <w:jc w:val="center"/>
              <w:rPr>
                <w:b/>
                <w:bCs/>
                <w:sz w:val="21"/>
                <w:szCs w:val="21"/>
              </w:rPr>
            </w:pPr>
            <w:r w:rsidRPr="00905BD6">
              <w:rPr>
                <w:b/>
                <w:bCs/>
                <w:sz w:val="21"/>
                <w:szCs w:val="21"/>
              </w:rPr>
              <w:t>Other:</w:t>
            </w:r>
          </w:p>
        </w:tc>
      </w:tr>
      <w:tr w:rsidR="0097746A" w:rsidRPr="005B56DA" w14:paraId="07BD5502" w14:textId="77777777" w:rsidTr="004E3AE1">
        <w:trPr>
          <w:trHeight w:val="1340"/>
        </w:trPr>
        <w:tc>
          <w:tcPr>
            <w:tcW w:w="1345" w:type="dxa"/>
            <w:vAlign w:val="center"/>
          </w:tcPr>
          <w:p w14:paraId="22761F77" w14:textId="337F1449" w:rsidR="00DA491D" w:rsidRPr="0028359C" w:rsidRDefault="00DA491D" w:rsidP="0097746A">
            <w:pPr>
              <w:spacing w:after="0"/>
              <w:rPr>
                <w:color w:val="BFBFBF" w:themeColor="background1" w:themeShade="BF"/>
              </w:rPr>
            </w:pPr>
            <w:r w:rsidRPr="0028359C">
              <w:rPr>
                <w:color w:val="BFBFBF" w:themeColor="background1" w:themeShade="BF"/>
              </w:rPr>
              <w:t xml:space="preserve">Flammable </w:t>
            </w:r>
            <w:r w:rsidR="00E14118" w:rsidRPr="0028359C">
              <w:rPr>
                <w:color w:val="BFBFBF" w:themeColor="background1" w:themeShade="BF"/>
              </w:rPr>
              <w:t>liquids,</w:t>
            </w:r>
            <w:r w:rsidR="0097746A" w:rsidRPr="0028359C">
              <w:rPr>
                <w:color w:val="BFBFBF" w:themeColor="background1" w:themeShade="BF"/>
              </w:rPr>
              <w:t xml:space="preserve"> </w:t>
            </w:r>
            <w:r w:rsidR="00E14118" w:rsidRPr="0028359C">
              <w:rPr>
                <w:color w:val="BFBFBF" w:themeColor="background1" w:themeShade="BF"/>
              </w:rPr>
              <w:t>Class I</w:t>
            </w:r>
            <w:r w:rsidRPr="0028359C">
              <w:rPr>
                <w:color w:val="BFBFBF" w:themeColor="background1" w:themeShade="BF"/>
              </w:rPr>
              <w:t xml:space="preserve"> (CA1)</w:t>
            </w:r>
          </w:p>
        </w:tc>
        <w:tc>
          <w:tcPr>
            <w:tcW w:w="1356" w:type="dxa"/>
            <w:vAlign w:val="center"/>
          </w:tcPr>
          <w:p w14:paraId="28A1CC3C" w14:textId="72F4603E" w:rsidR="00DA491D" w:rsidRPr="0028359C" w:rsidRDefault="0014709B" w:rsidP="00325B63">
            <w:pPr>
              <w:spacing w:after="0"/>
              <w:jc w:val="center"/>
              <w:rPr>
                <w:color w:val="BFBFBF" w:themeColor="background1" w:themeShade="BF"/>
              </w:rPr>
            </w:pPr>
            <w:r w:rsidRPr="0028359C">
              <w:rPr>
                <w:color w:val="BFBFBF" w:themeColor="background1" w:themeShade="BF"/>
              </w:rPr>
              <w:t>March 202</w:t>
            </w:r>
            <w:r w:rsidR="00E14118" w:rsidRPr="0028359C">
              <w:rPr>
                <w:color w:val="BFBFBF" w:themeColor="background1" w:themeShade="BF"/>
              </w:rPr>
              <w:t>7</w:t>
            </w:r>
          </w:p>
        </w:tc>
        <w:tc>
          <w:tcPr>
            <w:tcW w:w="1292" w:type="dxa"/>
            <w:vAlign w:val="center"/>
          </w:tcPr>
          <w:p w14:paraId="6224CF85" w14:textId="2CC7EE55" w:rsidR="00DA491D" w:rsidRPr="0028359C" w:rsidRDefault="0014709B" w:rsidP="00325B63">
            <w:pPr>
              <w:spacing w:after="0"/>
              <w:jc w:val="center"/>
              <w:rPr>
                <w:color w:val="BFBFBF" w:themeColor="background1" w:themeShade="BF"/>
              </w:rPr>
            </w:pPr>
            <w:r w:rsidRPr="0028359C">
              <w:rPr>
                <w:color w:val="BFBFBF" w:themeColor="background1" w:themeShade="BF"/>
              </w:rPr>
              <w:t>YES</w:t>
            </w:r>
          </w:p>
        </w:tc>
        <w:tc>
          <w:tcPr>
            <w:tcW w:w="1243" w:type="dxa"/>
            <w:vAlign w:val="center"/>
          </w:tcPr>
          <w:p w14:paraId="393A0439" w14:textId="745A8306" w:rsidR="00DA491D"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81" w:type="dxa"/>
            <w:vAlign w:val="center"/>
          </w:tcPr>
          <w:p w14:paraId="01C0CF8F" w14:textId="3EAA8330" w:rsidR="00DA491D" w:rsidRPr="0028359C" w:rsidRDefault="00DA491D" w:rsidP="00325B63">
            <w:pPr>
              <w:spacing w:after="0"/>
              <w:jc w:val="center"/>
              <w:rPr>
                <w:color w:val="BFBFBF" w:themeColor="background1" w:themeShade="BF"/>
              </w:rPr>
            </w:pPr>
          </w:p>
        </w:tc>
        <w:tc>
          <w:tcPr>
            <w:tcW w:w="1207" w:type="dxa"/>
            <w:vAlign w:val="center"/>
          </w:tcPr>
          <w:p w14:paraId="5CE7540D" w14:textId="77777777" w:rsidR="00DA491D" w:rsidRPr="0028359C" w:rsidRDefault="00DA491D" w:rsidP="00325B63">
            <w:pPr>
              <w:spacing w:after="0"/>
              <w:jc w:val="center"/>
              <w:rPr>
                <w:color w:val="BFBFBF" w:themeColor="background1" w:themeShade="BF"/>
              </w:rPr>
            </w:pPr>
          </w:p>
        </w:tc>
        <w:tc>
          <w:tcPr>
            <w:tcW w:w="906" w:type="dxa"/>
            <w:vAlign w:val="center"/>
          </w:tcPr>
          <w:p w14:paraId="31904BEB" w14:textId="77777777" w:rsidR="00DA491D" w:rsidRPr="005B56DA" w:rsidRDefault="00DA491D" w:rsidP="00325B63">
            <w:pPr>
              <w:spacing w:after="0"/>
              <w:jc w:val="center"/>
            </w:pPr>
          </w:p>
        </w:tc>
      </w:tr>
      <w:tr w:rsidR="0097746A" w:rsidRPr="005B56DA" w14:paraId="68540D3A" w14:textId="77777777" w:rsidTr="004E3AE1">
        <w:trPr>
          <w:trHeight w:val="1340"/>
        </w:trPr>
        <w:tc>
          <w:tcPr>
            <w:tcW w:w="1345" w:type="dxa"/>
            <w:vAlign w:val="center"/>
          </w:tcPr>
          <w:p w14:paraId="0572F104" w14:textId="71C0E0E8" w:rsidR="00DA491D" w:rsidRPr="0028359C" w:rsidRDefault="00E14118" w:rsidP="0097746A">
            <w:pPr>
              <w:spacing w:after="0"/>
              <w:rPr>
                <w:color w:val="BFBFBF" w:themeColor="background1" w:themeShade="BF"/>
              </w:rPr>
            </w:pPr>
            <w:r w:rsidRPr="0028359C">
              <w:rPr>
                <w:color w:val="BFBFBF" w:themeColor="background1" w:themeShade="BF"/>
              </w:rPr>
              <w:t>Toxic</w:t>
            </w:r>
            <w:r w:rsidR="0097746A" w:rsidRPr="0028359C">
              <w:rPr>
                <w:color w:val="BFBFBF" w:themeColor="background1" w:themeShade="BF"/>
              </w:rPr>
              <w:t xml:space="preserve"> </w:t>
            </w:r>
            <w:r w:rsidRPr="0028359C">
              <w:rPr>
                <w:color w:val="BFBFBF" w:themeColor="background1" w:themeShade="BF"/>
              </w:rPr>
              <w:t>liquids</w:t>
            </w:r>
            <w:r w:rsidR="00DA491D" w:rsidRPr="0028359C">
              <w:rPr>
                <w:color w:val="BFBFBF" w:themeColor="background1" w:themeShade="BF"/>
              </w:rPr>
              <w:t xml:space="preserve"> (CA</w:t>
            </w:r>
            <w:r w:rsidRPr="0028359C">
              <w:rPr>
                <w:color w:val="BFBFBF" w:themeColor="background1" w:themeShade="BF"/>
              </w:rPr>
              <w:t>1</w:t>
            </w:r>
            <w:r w:rsidR="00DA491D" w:rsidRPr="0028359C">
              <w:rPr>
                <w:color w:val="BFBFBF" w:themeColor="background1" w:themeShade="BF"/>
              </w:rPr>
              <w:t>)</w:t>
            </w:r>
          </w:p>
        </w:tc>
        <w:tc>
          <w:tcPr>
            <w:tcW w:w="1356" w:type="dxa"/>
            <w:vAlign w:val="center"/>
          </w:tcPr>
          <w:p w14:paraId="2594DE47" w14:textId="72F3C33D" w:rsidR="00DA491D" w:rsidRPr="0028359C" w:rsidRDefault="00E14118" w:rsidP="00325B63">
            <w:pPr>
              <w:spacing w:after="0"/>
              <w:jc w:val="center"/>
              <w:rPr>
                <w:color w:val="BFBFBF" w:themeColor="background1" w:themeShade="BF"/>
              </w:rPr>
            </w:pPr>
            <w:r w:rsidRPr="0028359C">
              <w:rPr>
                <w:color w:val="BFBFBF" w:themeColor="background1" w:themeShade="BF"/>
              </w:rPr>
              <w:t xml:space="preserve">May </w:t>
            </w:r>
            <w:r w:rsidR="0014709B" w:rsidRPr="0028359C">
              <w:rPr>
                <w:color w:val="BFBFBF" w:themeColor="background1" w:themeShade="BF"/>
              </w:rPr>
              <w:t>202</w:t>
            </w:r>
            <w:r w:rsidRPr="0028359C">
              <w:rPr>
                <w:color w:val="BFBFBF" w:themeColor="background1" w:themeShade="BF"/>
              </w:rPr>
              <w:t>7</w:t>
            </w:r>
          </w:p>
        </w:tc>
        <w:tc>
          <w:tcPr>
            <w:tcW w:w="1292" w:type="dxa"/>
            <w:vAlign w:val="center"/>
          </w:tcPr>
          <w:p w14:paraId="5B2009A1" w14:textId="7F8424D6" w:rsidR="00DA491D" w:rsidRPr="0028359C" w:rsidRDefault="0014709B" w:rsidP="00325B63">
            <w:pPr>
              <w:spacing w:after="0"/>
              <w:jc w:val="center"/>
              <w:rPr>
                <w:color w:val="BFBFBF" w:themeColor="background1" w:themeShade="BF"/>
              </w:rPr>
            </w:pPr>
            <w:r w:rsidRPr="0028359C">
              <w:rPr>
                <w:color w:val="BFBFBF" w:themeColor="background1" w:themeShade="BF"/>
              </w:rPr>
              <w:t>YES</w:t>
            </w:r>
          </w:p>
        </w:tc>
        <w:tc>
          <w:tcPr>
            <w:tcW w:w="1243" w:type="dxa"/>
            <w:vAlign w:val="center"/>
          </w:tcPr>
          <w:p w14:paraId="771E5C65" w14:textId="6DCB13B5" w:rsidR="00DA491D"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81" w:type="dxa"/>
            <w:vAlign w:val="center"/>
          </w:tcPr>
          <w:p w14:paraId="62CB9902" w14:textId="22BFEF81" w:rsidR="00DA491D" w:rsidRPr="0028359C" w:rsidRDefault="00DA491D" w:rsidP="00325B63">
            <w:pPr>
              <w:spacing w:after="0"/>
              <w:jc w:val="center"/>
              <w:rPr>
                <w:color w:val="BFBFBF" w:themeColor="background1" w:themeShade="BF"/>
              </w:rPr>
            </w:pPr>
          </w:p>
        </w:tc>
        <w:tc>
          <w:tcPr>
            <w:tcW w:w="1207" w:type="dxa"/>
            <w:vAlign w:val="center"/>
          </w:tcPr>
          <w:p w14:paraId="37B9C78E" w14:textId="77777777" w:rsidR="00DA491D" w:rsidRPr="0028359C" w:rsidRDefault="00DA491D" w:rsidP="00325B63">
            <w:pPr>
              <w:spacing w:after="0"/>
              <w:jc w:val="center"/>
              <w:rPr>
                <w:color w:val="BFBFBF" w:themeColor="background1" w:themeShade="BF"/>
              </w:rPr>
            </w:pPr>
          </w:p>
        </w:tc>
        <w:tc>
          <w:tcPr>
            <w:tcW w:w="906" w:type="dxa"/>
            <w:vAlign w:val="center"/>
          </w:tcPr>
          <w:p w14:paraId="6D2966A7" w14:textId="77777777" w:rsidR="00DA491D" w:rsidRPr="005B56DA" w:rsidRDefault="00DA491D" w:rsidP="00325B63">
            <w:pPr>
              <w:spacing w:after="0"/>
              <w:jc w:val="center"/>
            </w:pPr>
          </w:p>
        </w:tc>
      </w:tr>
      <w:tr w:rsidR="0097746A" w:rsidRPr="005B56DA" w14:paraId="4361941B" w14:textId="77777777" w:rsidTr="004E3AE1">
        <w:trPr>
          <w:trHeight w:val="1430"/>
        </w:trPr>
        <w:tc>
          <w:tcPr>
            <w:tcW w:w="1345" w:type="dxa"/>
            <w:vAlign w:val="center"/>
          </w:tcPr>
          <w:p w14:paraId="7B8C4DF2" w14:textId="65DCBFE3" w:rsidR="00E14118" w:rsidRPr="0028359C" w:rsidRDefault="00E14118" w:rsidP="0097746A">
            <w:pPr>
              <w:spacing w:after="0"/>
              <w:rPr>
                <w:color w:val="BFBFBF" w:themeColor="background1" w:themeShade="BF"/>
              </w:rPr>
            </w:pPr>
            <w:r w:rsidRPr="0028359C">
              <w:rPr>
                <w:color w:val="BFBFBF" w:themeColor="background1" w:themeShade="BF"/>
              </w:rPr>
              <w:t>Flammable gases (CA1)</w:t>
            </w:r>
          </w:p>
        </w:tc>
        <w:tc>
          <w:tcPr>
            <w:tcW w:w="1356" w:type="dxa"/>
            <w:vAlign w:val="center"/>
          </w:tcPr>
          <w:p w14:paraId="509741FC" w14:textId="2D1C0653" w:rsidR="00E14118" w:rsidRPr="0028359C" w:rsidRDefault="00E14118" w:rsidP="00325B63">
            <w:pPr>
              <w:spacing w:after="0"/>
              <w:jc w:val="center"/>
              <w:rPr>
                <w:color w:val="BFBFBF" w:themeColor="background1" w:themeShade="BF"/>
              </w:rPr>
            </w:pPr>
            <w:r w:rsidRPr="0028359C">
              <w:rPr>
                <w:color w:val="BFBFBF" w:themeColor="background1" w:themeShade="BF"/>
              </w:rPr>
              <w:t>March 2027</w:t>
            </w:r>
          </w:p>
        </w:tc>
        <w:tc>
          <w:tcPr>
            <w:tcW w:w="1292" w:type="dxa"/>
            <w:vAlign w:val="center"/>
          </w:tcPr>
          <w:p w14:paraId="55CB512A" w14:textId="638825ED"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43" w:type="dxa"/>
            <w:vAlign w:val="center"/>
          </w:tcPr>
          <w:p w14:paraId="73F59252" w14:textId="77777777" w:rsidR="00E14118" w:rsidRPr="0028359C" w:rsidRDefault="00E14118" w:rsidP="00325B63">
            <w:pPr>
              <w:spacing w:after="0"/>
              <w:jc w:val="center"/>
              <w:rPr>
                <w:color w:val="BFBFBF" w:themeColor="background1" w:themeShade="BF"/>
              </w:rPr>
            </w:pPr>
          </w:p>
        </w:tc>
        <w:tc>
          <w:tcPr>
            <w:tcW w:w="1281" w:type="dxa"/>
            <w:vAlign w:val="center"/>
          </w:tcPr>
          <w:p w14:paraId="2EFB3A5E" w14:textId="7923F17A"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07" w:type="dxa"/>
            <w:vAlign w:val="center"/>
          </w:tcPr>
          <w:p w14:paraId="76FAF53F" w14:textId="09509B19" w:rsidR="00E14118" w:rsidRPr="0028359C" w:rsidRDefault="00E14118" w:rsidP="00325B63">
            <w:pPr>
              <w:spacing w:after="0"/>
              <w:jc w:val="center"/>
              <w:rPr>
                <w:color w:val="BFBFBF" w:themeColor="background1" w:themeShade="BF"/>
              </w:rPr>
            </w:pPr>
            <w:r w:rsidRPr="0028359C">
              <w:rPr>
                <w:color w:val="BFBFBF" w:themeColor="background1" w:themeShade="BF"/>
              </w:rPr>
              <w:t>YES: construct gas cages outside</w:t>
            </w:r>
          </w:p>
        </w:tc>
        <w:tc>
          <w:tcPr>
            <w:tcW w:w="906" w:type="dxa"/>
            <w:vAlign w:val="center"/>
          </w:tcPr>
          <w:p w14:paraId="149F6E92" w14:textId="77777777" w:rsidR="00E14118" w:rsidRPr="005B56DA" w:rsidRDefault="00E14118" w:rsidP="00325B63">
            <w:pPr>
              <w:spacing w:after="0"/>
              <w:jc w:val="center"/>
            </w:pPr>
          </w:p>
        </w:tc>
      </w:tr>
      <w:tr w:rsidR="00325B63" w:rsidRPr="005B56DA" w14:paraId="6D99278F" w14:textId="77777777" w:rsidTr="00B61DBB">
        <w:tc>
          <w:tcPr>
            <w:tcW w:w="8630" w:type="dxa"/>
            <w:gridSpan w:val="7"/>
            <w:shd w:val="clear" w:color="auto" w:fill="D9D9D9" w:themeFill="background1" w:themeFillShade="D9"/>
            <w:vAlign w:val="center"/>
          </w:tcPr>
          <w:p w14:paraId="6885BC64" w14:textId="77777777" w:rsidR="00325B63" w:rsidRPr="005B56DA" w:rsidRDefault="00325B63" w:rsidP="00325B63">
            <w:pPr>
              <w:spacing w:after="0"/>
              <w:jc w:val="center"/>
            </w:pPr>
          </w:p>
        </w:tc>
      </w:tr>
      <w:tr w:rsidR="0097746A" w:rsidRPr="005B56DA" w14:paraId="7FA1C4AE" w14:textId="77777777" w:rsidTr="004E3AE1">
        <w:trPr>
          <w:trHeight w:val="1538"/>
        </w:trPr>
        <w:tc>
          <w:tcPr>
            <w:tcW w:w="1345" w:type="dxa"/>
            <w:vAlign w:val="center"/>
          </w:tcPr>
          <w:p w14:paraId="30939365" w14:textId="1FEF8B03" w:rsidR="00E14118" w:rsidRPr="0028359C" w:rsidRDefault="00E14118" w:rsidP="0097746A">
            <w:pPr>
              <w:spacing w:after="0"/>
              <w:rPr>
                <w:color w:val="BFBFBF" w:themeColor="background1" w:themeShade="BF"/>
              </w:rPr>
            </w:pPr>
            <w:r w:rsidRPr="0028359C">
              <w:rPr>
                <w:color w:val="BFBFBF" w:themeColor="background1" w:themeShade="BF"/>
              </w:rPr>
              <w:lastRenderedPageBreak/>
              <w:t>Flammable liquids, Class I</w:t>
            </w:r>
            <w:r w:rsidR="0097746A" w:rsidRPr="0028359C">
              <w:rPr>
                <w:color w:val="BFBFBF" w:themeColor="background1" w:themeShade="BF"/>
              </w:rPr>
              <w:t xml:space="preserve"> </w:t>
            </w:r>
            <w:r w:rsidRPr="0028359C">
              <w:rPr>
                <w:color w:val="BFBFBF" w:themeColor="background1" w:themeShade="BF"/>
              </w:rPr>
              <w:t>(CA2)</w:t>
            </w:r>
          </w:p>
        </w:tc>
        <w:tc>
          <w:tcPr>
            <w:tcW w:w="1356" w:type="dxa"/>
            <w:vAlign w:val="center"/>
          </w:tcPr>
          <w:p w14:paraId="288A675B" w14:textId="2570F36A" w:rsidR="00E14118" w:rsidRPr="0028359C" w:rsidRDefault="00E14118" w:rsidP="00325B63">
            <w:pPr>
              <w:spacing w:after="0"/>
              <w:jc w:val="center"/>
              <w:rPr>
                <w:color w:val="BFBFBF" w:themeColor="background1" w:themeShade="BF"/>
              </w:rPr>
            </w:pPr>
            <w:r w:rsidRPr="0028359C">
              <w:rPr>
                <w:color w:val="BFBFBF" w:themeColor="background1" w:themeShade="BF"/>
              </w:rPr>
              <w:t>March 2027</w:t>
            </w:r>
          </w:p>
        </w:tc>
        <w:tc>
          <w:tcPr>
            <w:tcW w:w="1292" w:type="dxa"/>
            <w:vAlign w:val="center"/>
          </w:tcPr>
          <w:p w14:paraId="60ABDA7C" w14:textId="793701D8"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43" w:type="dxa"/>
            <w:vAlign w:val="center"/>
          </w:tcPr>
          <w:p w14:paraId="3BE9AB60" w14:textId="4E4EC197"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81" w:type="dxa"/>
            <w:vAlign w:val="center"/>
          </w:tcPr>
          <w:p w14:paraId="0E606409" w14:textId="77777777" w:rsidR="00E14118" w:rsidRPr="005B56DA" w:rsidRDefault="00E14118" w:rsidP="00325B63">
            <w:pPr>
              <w:spacing w:after="0"/>
              <w:jc w:val="center"/>
            </w:pPr>
          </w:p>
        </w:tc>
        <w:tc>
          <w:tcPr>
            <w:tcW w:w="1207" w:type="dxa"/>
            <w:vAlign w:val="center"/>
          </w:tcPr>
          <w:p w14:paraId="22EA5ECD" w14:textId="77777777" w:rsidR="00E14118" w:rsidRPr="005B56DA" w:rsidRDefault="00E14118" w:rsidP="00325B63">
            <w:pPr>
              <w:spacing w:after="0"/>
              <w:jc w:val="center"/>
            </w:pPr>
          </w:p>
        </w:tc>
        <w:tc>
          <w:tcPr>
            <w:tcW w:w="906" w:type="dxa"/>
            <w:vAlign w:val="center"/>
          </w:tcPr>
          <w:p w14:paraId="1443946D" w14:textId="77777777" w:rsidR="00E14118" w:rsidRPr="005B56DA" w:rsidRDefault="00E14118" w:rsidP="00325B63">
            <w:pPr>
              <w:spacing w:after="0"/>
              <w:jc w:val="center"/>
            </w:pPr>
          </w:p>
        </w:tc>
      </w:tr>
      <w:tr w:rsidR="0097746A" w:rsidRPr="005B56DA" w14:paraId="665AFF4E" w14:textId="77777777" w:rsidTr="004E3AE1">
        <w:trPr>
          <w:trHeight w:val="1430"/>
        </w:trPr>
        <w:tc>
          <w:tcPr>
            <w:tcW w:w="1345" w:type="dxa"/>
            <w:vAlign w:val="center"/>
          </w:tcPr>
          <w:p w14:paraId="7C03320E" w14:textId="52FE53BD" w:rsidR="00E14118" w:rsidRPr="0028359C" w:rsidRDefault="00E14118" w:rsidP="0097746A">
            <w:pPr>
              <w:spacing w:after="0"/>
              <w:rPr>
                <w:color w:val="BFBFBF" w:themeColor="background1" w:themeShade="BF"/>
              </w:rPr>
            </w:pPr>
            <w:r w:rsidRPr="0028359C">
              <w:rPr>
                <w:color w:val="BFBFBF" w:themeColor="background1" w:themeShade="BF"/>
              </w:rPr>
              <w:t>Highly toxic liquids (CA2)</w:t>
            </w:r>
          </w:p>
        </w:tc>
        <w:tc>
          <w:tcPr>
            <w:tcW w:w="1356" w:type="dxa"/>
            <w:vAlign w:val="center"/>
          </w:tcPr>
          <w:p w14:paraId="21A44431" w14:textId="29DF3EA9" w:rsidR="00E14118" w:rsidRPr="0028359C" w:rsidRDefault="00E14118" w:rsidP="00325B63">
            <w:pPr>
              <w:spacing w:after="0"/>
              <w:jc w:val="center"/>
              <w:rPr>
                <w:color w:val="BFBFBF" w:themeColor="background1" w:themeShade="BF"/>
              </w:rPr>
            </w:pPr>
            <w:r w:rsidRPr="0028359C">
              <w:rPr>
                <w:color w:val="BFBFBF" w:themeColor="background1" w:themeShade="BF"/>
              </w:rPr>
              <w:t>May 2027</w:t>
            </w:r>
          </w:p>
        </w:tc>
        <w:tc>
          <w:tcPr>
            <w:tcW w:w="1292" w:type="dxa"/>
            <w:vAlign w:val="center"/>
          </w:tcPr>
          <w:p w14:paraId="35D8BE14" w14:textId="74739509"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43" w:type="dxa"/>
            <w:vAlign w:val="center"/>
          </w:tcPr>
          <w:p w14:paraId="5700DA88" w14:textId="11296A97" w:rsidR="00E14118" w:rsidRPr="0028359C" w:rsidRDefault="00E14118" w:rsidP="00325B63">
            <w:pPr>
              <w:spacing w:after="0"/>
              <w:jc w:val="center"/>
              <w:rPr>
                <w:color w:val="BFBFBF" w:themeColor="background1" w:themeShade="BF"/>
              </w:rPr>
            </w:pPr>
            <w:r w:rsidRPr="0028359C">
              <w:rPr>
                <w:color w:val="BFBFBF" w:themeColor="background1" w:themeShade="BF"/>
              </w:rPr>
              <w:t>YES</w:t>
            </w:r>
          </w:p>
        </w:tc>
        <w:tc>
          <w:tcPr>
            <w:tcW w:w="1281" w:type="dxa"/>
            <w:vAlign w:val="center"/>
          </w:tcPr>
          <w:p w14:paraId="56CC885E" w14:textId="77777777" w:rsidR="00E14118" w:rsidRPr="005B56DA" w:rsidRDefault="00E14118" w:rsidP="00325B63">
            <w:pPr>
              <w:spacing w:after="0"/>
              <w:jc w:val="center"/>
            </w:pPr>
          </w:p>
        </w:tc>
        <w:tc>
          <w:tcPr>
            <w:tcW w:w="1207" w:type="dxa"/>
            <w:vAlign w:val="center"/>
          </w:tcPr>
          <w:p w14:paraId="7F986CBD" w14:textId="77777777" w:rsidR="00E14118" w:rsidRPr="005B56DA" w:rsidRDefault="00E14118" w:rsidP="00325B63">
            <w:pPr>
              <w:spacing w:after="0"/>
              <w:jc w:val="center"/>
            </w:pPr>
          </w:p>
        </w:tc>
        <w:tc>
          <w:tcPr>
            <w:tcW w:w="906" w:type="dxa"/>
            <w:vAlign w:val="center"/>
          </w:tcPr>
          <w:p w14:paraId="159092C3" w14:textId="77777777" w:rsidR="00E14118" w:rsidRPr="005B56DA" w:rsidRDefault="00E14118" w:rsidP="00325B63">
            <w:pPr>
              <w:spacing w:after="0"/>
              <w:jc w:val="center"/>
            </w:pPr>
          </w:p>
        </w:tc>
      </w:tr>
    </w:tbl>
    <w:p w14:paraId="502E00F9" w14:textId="77777777" w:rsidR="00604507" w:rsidRPr="005B56DA" w:rsidRDefault="00604507" w:rsidP="0006762B"/>
    <w:p w14:paraId="61CF9DD1" w14:textId="62556FD9" w:rsidR="00604507" w:rsidRPr="00DC73C1" w:rsidRDefault="00604507" w:rsidP="0006762B">
      <w:pPr>
        <w:pStyle w:val="ListParagraph"/>
        <w:numPr>
          <w:ilvl w:val="0"/>
          <w:numId w:val="6"/>
        </w:numPr>
        <w:rPr>
          <w:b/>
          <w:bCs/>
        </w:rPr>
      </w:pPr>
      <w:r w:rsidRPr="00DC73C1">
        <w:rPr>
          <w:b/>
          <w:bCs/>
        </w:rPr>
        <w:t>Name of Building 2</w:t>
      </w:r>
    </w:p>
    <w:p w14:paraId="471EBC75" w14:textId="01054252" w:rsidR="001A3450" w:rsidRPr="00DC73C1" w:rsidRDefault="00563D5C" w:rsidP="00884E69">
      <w:pPr>
        <w:pStyle w:val="ListParagraph"/>
        <w:rPr>
          <w:b/>
          <w:bCs/>
        </w:rPr>
      </w:pPr>
      <w:r w:rsidRPr="00DC73C1">
        <w:rPr>
          <w:b/>
          <w:bCs/>
        </w:rPr>
        <w:t xml:space="preserve">Narrative: </w:t>
      </w:r>
    </w:p>
    <w:p w14:paraId="5EC1FA8F" w14:textId="77777777" w:rsidR="00905BD6" w:rsidRPr="005B56DA" w:rsidRDefault="00905BD6" w:rsidP="00884E69">
      <w:pPr>
        <w:pStyle w:val="ListParagraph"/>
      </w:pPr>
    </w:p>
    <w:tbl>
      <w:tblPr>
        <w:tblStyle w:val="TableGrid"/>
        <w:tblW w:w="0" w:type="auto"/>
        <w:tblInd w:w="720" w:type="dxa"/>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ook w:val="04A0" w:firstRow="1" w:lastRow="0" w:firstColumn="1" w:lastColumn="0" w:noHBand="0" w:noVBand="1"/>
      </w:tblPr>
      <w:tblGrid>
        <w:gridCol w:w="1331"/>
        <w:gridCol w:w="1390"/>
        <w:gridCol w:w="1292"/>
        <w:gridCol w:w="1243"/>
        <w:gridCol w:w="1281"/>
        <w:gridCol w:w="1207"/>
        <w:gridCol w:w="886"/>
      </w:tblGrid>
      <w:tr w:rsidR="001A3450" w:rsidRPr="005B56DA" w14:paraId="07D3B0F5" w14:textId="77777777" w:rsidTr="00884E69">
        <w:tc>
          <w:tcPr>
            <w:tcW w:w="1331" w:type="dxa"/>
            <w:shd w:val="clear" w:color="auto" w:fill="1295D8"/>
            <w:vAlign w:val="center"/>
          </w:tcPr>
          <w:p w14:paraId="5936A11E" w14:textId="67556BAA" w:rsidR="001A3450" w:rsidRPr="00884E69" w:rsidRDefault="001A3450" w:rsidP="00884E69">
            <w:pPr>
              <w:spacing w:after="0"/>
              <w:jc w:val="center"/>
              <w:rPr>
                <w:b/>
                <w:bCs/>
                <w:color w:val="FFFFFF" w:themeColor="background1"/>
              </w:rPr>
            </w:pPr>
            <w:r w:rsidRPr="00884E69">
              <w:rPr>
                <w:b/>
                <w:bCs/>
                <w:color w:val="FFFFFF" w:themeColor="background1"/>
              </w:rPr>
              <w:t xml:space="preserve">Hazard Category </w:t>
            </w:r>
            <w:r w:rsidR="00884E69">
              <w:rPr>
                <w:b/>
                <w:bCs/>
                <w:color w:val="FFFFFF" w:themeColor="background1"/>
              </w:rPr>
              <w:br/>
            </w:r>
            <w:r w:rsidRPr="00884E69">
              <w:rPr>
                <w:b/>
                <w:bCs/>
                <w:color w:val="FFFFFF" w:themeColor="background1"/>
              </w:rPr>
              <w:t>(+ control area)</w:t>
            </w:r>
          </w:p>
        </w:tc>
        <w:tc>
          <w:tcPr>
            <w:tcW w:w="7299" w:type="dxa"/>
            <w:gridSpan w:val="6"/>
            <w:shd w:val="clear" w:color="auto" w:fill="1295D8"/>
            <w:vAlign w:val="center"/>
          </w:tcPr>
          <w:p w14:paraId="1FCFF416" w14:textId="77777777" w:rsidR="001A3450" w:rsidRPr="00884E69" w:rsidRDefault="001A3450" w:rsidP="00884E69">
            <w:pPr>
              <w:spacing w:after="0"/>
              <w:jc w:val="center"/>
              <w:rPr>
                <w:b/>
                <w:bCs/>
                <w:color w:val="FFFFFF" w:themeColor="background1"/>
              </w:rPr>
            </w:pPr>
            <w:r w:rsidRPr="00884E69">
              <w:rPr>
                <w:b/>
                <w:bCs/>
                <w:color w:val="FFFFFF" w:themeColor="background1"/>
              </w:rPr>
              <w:t>Approach</w:t>
            </w:r>
          </w:p>
        </w:tc>
      </w:tr>
      <w:tr w:rsidR="00681AF7" w:rsidRPr="005B56DA" w14:paraId="288C6303" w14:textId="77777777" w:rsidTr="00681AF7">
        <w:trPr>
          <w:trHeight w:val="1016"/>
        </w:trPr>
        <w:tc>
          <w:tcPr>
            <w:tcW w:w="1331" w:type="dxa"/>
            <w:shd w:val="clear" w:color="auto" w:fill="D9D9D9" w:themeFill="background1" w:themeFillShade="D9"/>
          </w:tcPr>
          <w:p w14:paraId="5F386CFC" w14:textId="77777777" w:rsidR="001A3450" w:rsidRPr="005B56DA" w:rsidRDefault="001A3450" w:rsidP="00884E69"/>
        </w:tc>
        <w:tc>
          <w:tcPr>
            <w:tcW w:w="1390" w:type="dxa"/>
            <w:shd w:val="clear" w:color="auto" w:fill="D9D9D9" w:themeFill="background1" w:themeFillShade="D9"/>
            <w:vAlign w:val="center"/>
          </w:tcPr>
          <w:p w14:paraId="12B9F26A" w14:textId="77777777" w:rsidR="001A3450" w:rsidRPr="00905BD6" w:rsidRDefault="001A3450" w:rsidP="00884E69">
            <w:pPr>
              <w:spacing w:after="0"/>
              <w:jc w:val="center"/>
              <w:rPr>
                <w:b/>
                <w:bCs/>
                <w:sz w:val="21"/>
                <w:szCs w:val="21"/>
              </w:rPr>
            </w:pPr>
            <w:r w:rsidRPr="00905BD6">
              <w:rPr>
                <w:b/>
                <w:bCs/>
                <w:sz w:val="21"/>
                <w:szCs w:val="21"/>
              </w:rPr>
              <w:t>Estimated date of completion</w:t>
            </w:r>
          </w:p>
        </w:tc>
        <w:tc>
          <w:tcPr>
            <w:tcW w:w="1292" w:type="dxa"/>
            <w:shd w:val="clear" w:color="auto" w:fill="D9D9D9" w:themeFill="background1" w:themeFillShade="D9"/>
            <w:vAlign w:val="center"/>
          </w:tcPr>
          <w:p w14:paraId="02959172" w14:textId="77777777" w:rsidR="001A3450" w:rsidRPr="00905BD6" w:rsidRDefault="001A3450" w:rsidP="00884E69">
            <w:pPr>
              <w:spacing w:after="0"/>
              <w:jc w:val="center"/>
              <w:rPr>
                <w:b/>
                <w:bCs/>
                <w:sz w:val="21"/>
                <w:szCs w:val="21"/>
              </w:rPr>
            </w:pPr>
            <w:r w:rsidRPr="00905BD6">
              <w:rPr>
                <w:b/>
                <w:bCs/>
                <w:sz w:val="21"/>
                <w:szCs w:val="21"/>
              </w:rPr>
              <w:t>Reduce Quantities</w:t>
            </w:r>
          </w:p>
        </w:tc>
        <w:tc>
          <w:tcPr>
            <w:tcW w:w="1243" w:type="dxa"/>
            <w:shd w:val="clear" w:color="auto" w:fill="D9D9D9" w:themeFill="background1" w:themeFillShade="D9"/>
            <w:vAlign w:val="center"/>
          </w:tcPr>
          <w:p w14:paraId="3EF97A16" w14:textId="77777777" w:rsidR="001A3450" w:rsidRPr="00905BD6" w:rsidRDefault="001A3450" w:rsidP="00884E69">
            <w:pPr>
              <w:spacing w:after="0"/>
              <w:jc w:val="center"/>
              <w:rPr>
                <w:b/>
                <w:bCs/>
                <w:sz w:val="21"/>
                <w:szCs w:val="21"/>
              </w:rPr>
            </w:pPr>
            <w:r w:rsidRPr="00905BD6">
              <w:rPr>
                <w:b/>
                <w:bCs/>
                <w:sz w:val="21"/>
                <w:szCs w:val="21"/>
              </w:rPr>
              <w:t>Approved storage</w:t>
            </w:r>
          </w:p>
        </w:tc>
        <w:tc>
          <w:tcPr>
            <w:tcW w:w="1281" w:type="dxa"/>
            <w:shd w:val="clear" w:color="auto" w:fill="D9D9D9" w:themeFill="background1" w:themeFillShade="D9"/>
            <w:vAlign w:val="center"/>
          </w:tcPr>
          <w:p w14:paraId="03CD7644" w14:textId="77777777" w:rsidR="001A3450" w:rsidRPr="00905BD6" w:rsidRDefault="001A3450" w:rsidP="00884E69">
            <w:pPr>
              <w:spacing w:after="0"/>
              <w:jc w:val="center"/>
              <w:rPr>
                <w:b/>
                <w:bCs/>
                <w:sz w:val="21"/>
                <w:szCs w:val="21"/>
              </w:rPr>
            </w:pPr>
            <w:r w:rsidRPr="00905BD6">
              <w:rPr>
                <w:b/>
                <w:bCs/>
                <w:sz w:val="21"/>
                <w:szCs w:val="21"/>
              </w:rPr>
              <w:t>Move chemicals</w:t>
            </w:r>
          </w:p>
        </w:tc>
        <w:tc>
          <w:tcPr>
            <w:tcW w:w="1207" w:type="dxa"/>
            <w:shd w:val="clear" w:color="auto" w:fill="D9D9D9" w:themeFill="background1" w:themeFillShade="D9"/>
            <w:vAlign w:val="center"/>
          </w:tcPr>
          <w:p w14:paraId="7C3EB1C4" w14:textId="77777777" w:rsidR="001A3450" w:rsidRPr="00905BD6" w:rsidRDefault="001A3450" w:rsidP="00884E69">
            <w:pPr>
              <w:spacing w:after="0"/>
              <w:jc w:val="center"/>
              <w:rPr>
                <w:b/>
                <w:bCs/>
                <w:sz w:val="21"/>
                <w:szCs w:val="21"/>
              </w:rPr>
            </w:pPr>
            <w:r w:rsidRPr="00905BD6">
              <w:rPr>
                <w:b/>
                <w:bCs/>
                <w:sz w:val="21"/>
                <w:szCs w:val="21"/>
              </w:rPr>
              <w:t>Building upgrades</w:t>
            </w:r>
          </w:p>
        </w:tc>
        <w:tc>
          <w:tcPr>
            <w:tcW w:w="886" w:type="dxa"/>
            <w:shd w:val="clear" w:color="auto" w:fill="D9D9D9" w:themeFill="background1" w:themeFillShade="D9"/>
            <w:vAlign w:val="center"/>
          </w:tcPr>
          <w:p w14:paraId="0C36ACB5" w14:textId="77777777" w:rsidR="001A3450" w:rsidRPr="00905BD6" w:rsidRDefault="001A3450" w:rsidP="00884E69">
            <w:pPr>
              <w:spacing w:after="0"/>
              <w:jc w:val="center"/>
              <w:rPr>
                <w:b/>
                <w:bCs/>
                <w:sz w:val="21"/>
                <w:szCs w:val="21"/>
              </w:rPr>
            </w:pPr>
            <w:r w:rsidRPr="00905BD6">
              <w:rPr>
                <w:b/>
                <w:bCs/>
                <w:sz w:val="21"/>
                <w:szCs w:val="21"/>
              </w:rPr>
              <w:t>Other:</w:t>
            </w:r>
          </w:p>
        </w:tc>
      </w:tr>
      <w:tr w:rsidR="001A3450" w:rsidRPr="005B56DA" w14:paraId="21753B08" w14:textId="77777777" w:rsidTr="004E3AE1">
        <w:trPr>
          <w:trHeight w:val="1466"/>
        </w:trPr>
        <w:tc>
          <w:tcPr>
            <w:tcW w:w="1331" w:type="dxa"/>
            <w:vAlign w:val="center"/>
          </w:tcPr>
          <w:p w14:paraId="2CBF39F7" w14:textId="77777777" w:rsidR="001A3450" w:rsidRPr="00CA0A7A" w:rsidRDefault="001A3450" w:rsidP="00884E69">
            <w:pPr>
              <w:spacing w:after="0"/>
              <w:rPr>
                <w:color w:val="BFBFBF" w:themeColor="background1" w:themeShade="BF"/>
              </w:rPr>
            </w:pPr>
            <w:r w:rsidRPr="00CA0A7A">
              <w:rPr>
                <w:color w:val="BFBFBF" w:themeColor="background1" w:themeShade="BF"/>
              </w:rPr>
              <w:t>Flammable liquids, Class I (CA1)</w:t>
            </w:r>
          </w:p>
        </w:tc>
        <w:tc>
          <w:tcPr>
            <w:tcW w:w="1390" w:type="dxa"/>
            <w:vAlign w:val="center"/>
          </w:tcPr>
          <w:p w14:paraId="3F1F8455"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March 2027</w:t>
            </w:r>
          </w:p>
        </w:tc>
        <w:tc>
          <w:tcPr>
            <w:tcW w:w="1292" w:type="dxa"/>
            <w:vAlign w:val="center"/>
          </w:tcPr>
          <w:p w14:paraId="37249549"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43" w:type="dxa"/>
            <w:vAlign w:val="center"/>
          </w:tcPr>
          <w:p w14:paraId="117FD449"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81" w:type="dxa"/>
            <w:vAlign w:val="center"/>
          </w:tcPr>
          <w:p w14:paraId="6FFFA1EC" w14:textId="77777777" w:rsidR="001A3450" w:rsidRPr="00CA0A7A" w:rsidRDefault="001A3450" w:rsidP="00884E69">
            <w:pPr>
              <w:spacing w:after="0"/>
              <w:jc w:val="center"/>
              <w:rPr>
                <w:color w:val="BFBFBF" w:themeColor="background1" w:themeShade="BF"/>
              </w:rPr>
            </w:pPr>
          </w:p>
        </w:tc>
        <w:tc>
          <w:tcPr>
            <w:tcW w:w="1207" w:type="dxa"/>
            <w:vAlign w:val="center"/>
          </w:tcPr>
          <w:p w14:paraId="3CF3DDC9" w14:textId="77777777" w:rsidR="001A3450" w:rsidRPr="00CA0A7A" w:rsidRDefault="001A3450" w:rsidP="00884E69">
            <w:pPr>
              <w:spacing w:after="0"/>
              <w:jc w:val="center"/>
              <w:rPr>
                <w:color w:val="BFBFBF" w:themeColor="background1" w:themeShade="BF"/>
              </w:rPr>
            </w:pPr>
          </w:p>
        </w:tc>
        <w:tc>
          <w:tcPr>
            <w:tcW w:w="886" w:type="dxa"/>
            <w:vAlign w:val="center"/>
          </w:tcPr>
          <w:p w14:paraId="72903604" w14:textId="77777777" w:rsidR="001A3450" w:rsidRPr="00CA0A7A" w:rsidRDefault="001A3450" w:rsidP="00884E69">
            <w:pPr>
              <w:spacing w:after="0"/>
              <w:jc w:val="center"/>
              <w:rPr>
                <w:color w:val="BFBFBF" w:themeColor="background1" w:themeShade="BF"/>
              </w:rPr>
            </w:pPr>
          </w:p>
        </w:tc>
      </w:tr>
      <w:tr w:rsidR="001A3450" w:rsidRPr="005B56DA" w14:paraId="5974E9FB" w14:textId="77777777" w:rsidTr="004E3AE1">
        <w:trPr>
          <w:trHeight w:val="1349"/>
        </w:trPr>
        <w:tc>
          <w:tcPr>
            <w:tcW w:w="1331" w:type="dxa"/>
            <w:vAlign w:val="center"/>
          </w:tcPr>
          <w:p w14:paraId="296653E3" w14:textId="77777777" w:rsidR="001A3450" w:rsidRPr="00CA0A7A" w:rsidRDefault="001A3450" w:rsidP="00884E69">
            <w:pPr>
              <w:spacing w:after="0"/>
              <w:rPr>
                <w:color w:val="BFBFBF" w:themeColor="background1" w:themeShade="BF"/>
              </w:rPr>
            </w:pPr>
            <w:r w:rsidRPr="00CA0A7A">
              <w:rPr>
                <w:color w:val="BFBFBF" w:themeColor="background1" w:themeShade="BF"/>
              </w:rPr>
              <w:t>Toxic liquids (CA1)</w:t>
            </w:r>
          </w:p>
        </w:tc>
        <w:tc>
          <w:tcPr>
            <w:tcW w:w="1390" w:type="dxa"/>
            <w:vAlign w:val="center"/>
          </w:tcPr>
          <w:p w14:paraId="55ACE4DC"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May 2027</w:t>
            </w:r>
          </w:p>
        </w:tc>
        <w:tc>
          <w:tcPr>
            <w:tcW w:w="1292" w:type="dxa"/>
            <w:vAlign w:val="center"/>
          </w:tcPr>
          <w:p w14:paraId="64D4AB01"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43" w:type="dxa"/>
            <w:vAlign w:val="center"/>
          </w:tcPr>
          <w:p w14:paraId="4DB13275"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81" w:type="dxa"/>
            <w:vAlign w:val="center"/>
          </w:tcPr>
          <w:p w14:paraId="21E99E54" w14:textId="77777777" w:rsidR="001A3450" w:rsidRPr="00CA0A7A" w:rsidRDefault="001A3450" w:rsidP="00884E69">
            <w:pPr>
              <w:spacing w:after="0"/>
              <w:jc w:val="center"/>
              <w:rPr>
                <w:color w:val="BFBFBF" w:themeColor="background1" w:themeShade="BF"/>
              </w:rPr>
            </w:pPr>
          </w:p>
        </w:tc>
        <w:tc>
          <w:tcPr>
            <w:tcW w:w="1207" w:type="dxa"/>
            <w:vAlign w:val="center"/>
          </w:tcPr>
          <w:p w14:paraId="1A6BBE9B" w14:textId="77777777" w:rsidR="001A3450" w:rsidRPr="00CA0A7A" w:rsidRDefault="001A3450" w:rsidP="00884E69">
            <w:pPr>
              <w:spacing w:after="0"/>
              <w:jc w:val="center"/>
              <w:rPr>
                <w:color w:val="BFBFBF" w:themeColor="background1" w:themeShade="BF"/>
              </w:rPr>
            </w:pPr>
          </w:p>
        </w:tc>
        <w:tc>
          <w:tcPr>
            <w:tcW w:w="886" w:type="dxa"/>
            <w:vAlign w:val="center"/>
          </w:tcPr>
          <w:p w14:paraId="327BFBBA" w14:textId="77777777" w:rsidR="001A3450" w:rsidRPr="00CA0A7A" w:rsidRDefault="001A3450" w:rsidP="00884E69">
            <w:pPr>
              <w:spacing w:after="0"/>
              <w:jc w:val="center"/>
              <w:rPr>
                <w:color w:val="BFBFBF" w:themeColor="background1" w:themeShade="BF"/>
              </w:rPr>
            </w:pPr>
          </w:p>
        </w:tc>
      </w:tr>
      <w:tr w:rsidR="001A3450" w:rsidRPr="005B56DA" w14:paraId="6895E619" w14:textId="77777777" w:rsidTr="00884E69">
        <w:tc>
          <w:tcPr>
            <w:tcW w:w="1331" w:type="dxa"/>
            <w:vAlign w:val="center"/>
          </w:tcPr>
          <w:p w14:paraId="75413319" w14:textId="77777777" w:rsidR="001A3450" w:rsidRPr="00CA0A7A" w:rsidRDefault="001A3450" w:rsidP="00884E69">
            <w:pPr>
              <w:spacing w:after="0"/>
              <w:rPr>
                <w:color w:val="BFBFBF" w:themeColor="background1" w:themeShade="BF"/>
              </w:rPr>
            </w:pPr>
            <w:r w:rsidRPr="00CA0A7A">
              <w:rPr>
                <w:color w:val="BFBFBF" w:themeColor="background1" w:themeShade="BF"/>
              </w:rPr>
              <w:t>Flammable gases (CA1)</w:t>
            </w:r>
          </w:p>
        </w:tc>
        <w:tc>
          <w:tcPr>
            <w:tcW w:w="1390" w:type="dxa"/>
            <w:vAlign w:val="center"/>
          </w:tcPr>
          <w:p w14:paraId="61523C04"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March 2027</w:t>
            </w:r>
          </w:p>
        </w:tc>
        <w:tc>
          <w:tcPr>
            <w:tcW w:w="1292" w:type="dxa"/>
            <w:vAlign w:val="center"/>
          </w:tcPr>
          <w:p w14:paraId="2AD5620F"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43" w:type="dxa"/>
            <w:vAlign w:val="center"/>
          </w:tcPr>
          <w:p w14:paraId="571FB5E9" w14:textId="77777777" w:rsidR="001A3450" w:rsidRPr="00CA0A7A" w:rsidRDefault="001A3450" w:rsidP="00884E69">
            <w:pPr>
              <w:spacing w:after="0"/>
              <w:jc w:val="center"/>
              <w:rPr>
                <w:color w:val="BFBFBF" w:themeColor="background1" w:themeShade="BF"/>
              </w:rPr>
            </w:pPr>
          </w:p>
        </w:tc>
        <w:tc>
          <w:tcPr>
            <w:tcW w:w="1281" w:type="dxa"/>
            <w:vAlign w:val="center"/>
          </w:tcPr>
          <w:p w14:paraId="76928B06"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07" w:type="dxa"/>
            <w:vAlign w:val="center"/>
          </w:tcPr>
          <w:p w14:paraId="6EEC6E25"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 construct gas cages outside</w:t>
            </w:r>
          </w:p>
        </w:tc>
        <w:tc>
          <w:tcPr>
            <w:tcW w:w="886" w:type="dxa"/>
            <w:vAlign w:val="center"/>
          </w:tcPr>
          <w:p w14:paraId="7F4A8324" w14:textId="77777777" w:rsidR="001A3450" w:rsidRPr="00CA0A7A" w:rsidRDefault="001A3450" w:rsidP="00884E69">
            <w:pPr>
              <w:spacing w:after="0"/>
              <w:jc w:val="center"/>
              <w:rPr>
                <w:color w:val="BFBFBF" w:themeColor="background1" w:themeShade="BF"/>
              </w:rPr>
            </w:pPr>
          </w:p>
        </w:tc>
      </w:tr>
      <w:tr w:rsidR="00884E69" w:rsidRPr="005B56DA" w14:paraId="4DE92679" w14:textId="77777777" w:rsidTr="00905BD6">
        <w:tc>
          <w:tcPr>
            <w:tcW w:w="8630" w:type="dxa"/>
            <w:gridSpan w:val="7"/>
            <w:shd w:val="clear" w:color="auto" w:fill="D9D9D9" w:themeFill="background1" w:themeFillShade="D9"/>
            <w:vAlign w:val="center"/>
          </w:tcPr>
          <w:p w14:paraId="140CE63B" w14:textId="77777777" w:rsidR="00884E69" w:rsidRPr="00CA0A7A" w:rsidRDefault="00884E69" w:rsidP="00884E69">
            <w:pPr>
              <w:spacing w:after="0"/>
              <w:jc w:val="center"/>
              <w:rPr>
                <w:color w:val="BFBFBF" w:themeColor="background1" w:themeShade="BF"/>
              </w:rPr>
            </w:pPr>
          </w:p>
        </w:tc>
      </w:tr>
      <w:tr w:rsidR="001A3450" w:rsidRPr="005B56DA" w14:paraId="345D401C" w14:textId="77777777" w:rsidTr="004E3AE1">
        <w:trPr>
          <w:trHeight w:val="1538"/>
        </w:trPr>
        <w:tc>
          <w:tcPr>
            <w:tcW w:w="1331" w:type="dxa"/>
            <w:vAlign w:val="center"/>
          </w:tcPr>
          <w:p w14:paraId="0475BCEA" w14:textId="77777777" w:rsidR="001A3450" w:rsidRPr="00CA0A7A" w:rsidRDefault="001A3450" w:rsidP="00884E69">
            <w:pPr>
              <w:spacing w:after="0"/>
              <w:rPr>
                <w:color w:val="BFBFBF" w:themeColor="background1" w:themeShade="BF"/>
              </w:rPr>
            </w:pPr>
            <w:r w:rsidRPr="00CA0A7A">
              <w:rPr>
                <w:color w:val="BFBFBF" w:themeColor="background1" w:themeShade="BF"/>
              </w:rPr>
              <w:lastRenderedPageBreak/>
              <w:t>Flammable liquids, Class I (CA2)</w:t>
            </w:r>
          </w:p>
        </w:tc>
        <w:tc>
          <w:tcPr>
            <w:tcW w:w="1390" w:type="dxa"/>
            <w:vAlign w:val="center"/>
          </w:tcPr>
          <w:p w14:paraId="33DCFF07"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March 2027</w:t>
            </w:r>
          </w:p>
        </w:tc>
        <w:tc>
          <w:tcPr>
            <w:tcW w:w="1292" w:type="dxa"/>
            <w:vAlign w:val="center"/>
          </w:tcPr>
          <w:p w14:paraId="403074DA"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43" w:type="dxa"/>
            <w:vAlign w:val="center"/>
          </w:tcPr>
          <w:p w14:paraId="1DFFA9B6"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81" w:type="dxa"/>
            <w:vAlign w:val="center"/>
          </w:tcPr>
          <w:p w14:paraId="741E6EC6" w14:textId="77777777" w:rsidR="001A3450" w:rsidRPr="00CA0A7A" w:rsidRDefault="001A3450" w:rsidP="00884E69">
            <w:pPr>
              <w:spacing w:after="0"/>
              <w:jc w:val="center"/>
              <w:rPr>
                <w:color w:val="BFBFBF" w:themeColor="background1" w:themeShade="BF"/>
              </w:rPr>
            </w:pPr>
          </w:p>
        </w:tc>
        <w:tc>
          <w:tcPr>
            <w:tcW w:w="1207" w:type="dxa"/>
            <w:vAlign w:val="center"/>
          </w:tcPr>
          <w:p w14:paraId="4E8CA2F5" w14:textId="77777777" w:rsidR="001A3450" w:rsidRPr="00CA0A7A" w:rsidRDefault="001A3450" w:rsidP="00884E69">
            <w:pPr>
              <w:spacing w:after="0"/>
              <w:jc w:val="center"/>
              <w:rPr>
                <w:color w:val="BFBFBF" w:themeColor="background1" w:themeShade="BF"/>
              </w:rPr>
            </w:pPr>
          </w:p>
        </w:tc>
        <w:tc>
          <w:tcPr>
            <w:tcW w:w="886" w:type="dxa"/>
            <w:vAlign w:val="center"/>
          </w:tcPr>
          <w:p w14:paraId="045462C1" w14:textId="77777777" w:rsidR="001A3450" w:rsidRPr="00CA0A7A" w:rsidRDefault="001A3450" w:rsidP="00884E69">
            <w:pPr>
              <w:spacing w:after="0"/>
              <w:jc w:val="center"/>
              <w:rPr>
                <w:color w:val="BFBFBF" w:themeColor="background1" w:themeShade="BF"/>
              </w:rPr>
            </w:pPr>
          </w:p>
        </w:tc>
      </w:tr>
      <w:tr w:rsidR="001A3450" w:rsidRPr="005B56DA" w14:paraId="1B547CCE" w14:textId="77777777" w:rsidTr="004E3AE1">
        <w:trPr>
          <w:trHeight w:val="1610"/>
        </w:trPr>
        <w:tc>
          <w:tcPr>
            <w:tcW w:w="1331" w:type="dxa"/>
            <w:vAlign w:val="center"/>
          </w:tcPr>
          <w:p w14:paraId="78713C46" w14:textId="77777777" w:rsidR="001A3450" w:rsidRPr="00CA0A7A" w:rsidRDefault="001A3450" w:rsidP="00884E69">
            <w:pPr>
              <w:spacing w:after="0"/>
              <w:rPr>
                <w:color w:val="BFBFBF" w:themeColor="background1" w:themeShade="BF"/>
              </w:rPr>
            </w:pPr>
            <w:r w:rsidRPr="00CA0A7A">
              <w:rPr>
                <w:color w:val="BFBFBF" w:themeColor="background1" w:themeShade="BF"/>
              </w:rPr>
              <w:t>Highly toxic liquids (CA2)</w:t>
            </w:r>
          </w:p>
        </w:tc>
        <w:tc>
          <w:tcPr>
            <w:tcW w:w="1390" w:type="dxa"/>
            <w:vAlign w:val="center"/>
          </w:tcPr>
          <w:p w14:paraId="2B223BEC"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May 2027</w:t>
            </w:r>
          </w:p>
        </w:tc>
        <w:tc>
          <w:tcPr>
            <w:tcW w:w="1292" w:type="dxa"/>
            <w:vAlign w:val="center"/>
          </w:tcPr>
          <w:p w14:paraId="5B619530"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43" w:type="dxa"/>
            <w:vAlign w:val="center"/>
          </w:tcPr>
          <w:p w14:paraId="49A54514" w14:textId="77777777" w:rsidR="001A3450" w:rsidRPr="00CA0A7A" w:rsidRDefault="001A3450" w:rsidP="00884E69">
            <w:pPr>
              <w:spacing w:after="0"/>
              <w:jc w:val="center"/>
              <w:rPr>
                <w:color w:val="BFBFBF" w:themeColor="background1" w:themeShade="BF"/>
              </w:rPr>
            </w:pPr>
            <w:r w:rsidRPr="00CA0A7A">
              <w:rPr>
                <w:color w:val="BFBFBF" w:themeColor="background1" w:themeShade="BF"/>
              </w:rPr>
              <w:t>YES</w:t>
            </w:r>
          </w:p>
        </w:tc>
        <w:tc>
          <w:tcPr>
            <w:tcW w:w="1281" w:type="dxa"/>
            <w:vAlign w:val="center"/>
          </w:tcPr>
          <w:p w14:paraId="6457E6A8" w14:textId="77777777" w:rsidR="001A3450" w:rsidRPr="00CA0A7A" w:rsidRDefault="001A3450" w:rsidP="00884E69">
            <w:pPr>
              <w:spacing w:after="0"/>
              <w:jc w:val="center"/>
              <w:rPr>
                <w:color w:val="BFBFBF" w:themeColor="background1" w:themeShade="BF"/>
              </w:rPr>
            </w:pPr>
          </w:p>
        </w:tc>
        <w:tc>
          <w:tcPr>
            <w:tcW w:w="1207" w:type="dxa"/>
            <w:vAlign w:val="center"/>
          </w:tcPr>
          <w:p w14:paraId="1B38A56F" w14:textId="77777777" w:rsidR="001A3450" w:rsidRPr="00CA0A7A" w:rsidRDefault="001A3450" w:rsidP="00884E69">
            <w:pPr>
              <w:spacing w:after="0"/>
              <w:jc w:val="center"/>
              <w:rPr>
                <w:color w:val="BFBFBF" w:themeColor="background1" w:themeShade="BF"/>
              </w:rPr>
            </w:pPr>
          </w:p>
        </w:tc>
        <w:tc>
          <w:tcPr>
            <w:tcW w:w="886" w:type="dxa"/>
            <w:vAlign w:val="center"/>
          </w:tcPr>
          <w:p w14:paraId="672F441A" w14:textId="77777777" w:rsidR="001A3450" w:rsidRPr="00CA0A7A" w:rsidRDefault="001A3450" w:rsidP="00884E69">
            <w:pPr>
              <w:spacing w:after="0"/>
              <w:jc w:val="center"/>
              <w:rPr>
                <w:color w:val="BFBFBF" w:themeColor="background1" w:themeShade="BF"/>
              </w:rPr>
            </w:pPr>
          </w:p>
        </w:tc>
      </w:tr>
    </w:tbl>
    <w:p w14:paraId="3B2AB7FF" w14:textId="1DD4916F" w:rsidR="00604507" w:rsidRPr="005B56DA" w:rsidRDefault="00604507" w:rsidP="00B61DBB">
      <w:pPr>
        <w:spacing w:after="160" w:line="259" w:lineRule="auto"/>
      </w:pPr>
    </w:p>
    <w:p w14:paraId="2B88777E" w14:textId="6ABE75E7" w:rsidR="00604507" w:rsidRPr="00DC73C1" w:rsidRDefault="00604507" w:rsidP="0006762B">
      <w:pPr>
        <w:pStyle w:val="ListParagraph"/>
        <w:numPr>
          <w:ilvl w:val="0"/>
          <w:numId w:val="6"/>
        </w:numPr>
        <w:rPr>
          <w:b/>
          <w:bCs/>
        </w:rPr>
      </w:pPr>
      <w:r w:rsidRPr="00DC73C1">
        <w:rPr>
          <w:b/>
          <w:bCs/>
        </w:rPr>
        <w:t>Name of Building 3</w:t>
      </w:r>
    </w:p>
    <w:p w14:paraId="48CD5B5F" w14:textId="56023CFF" w:rsidR="00563D5C" w:rsidRPr="00DC73C1" w:rsidRDefault="00563D5C" w:rsidP="0006762B">
      <w:pPr>
        <w:pStyle w:val="ListParagraph"/>
        <w:rPr>
          <w:b/>
          <w:bCs/>
        </w:rPr>
      </w:pPr>
      <w:r w:rsidRPr="00DC73C1">
        <w:rPr>
          <w:b/>
          <w:bCs/>
        </w:rPr>
        <w:t xml:space="preserve">Narrative: </w:t>
      </w:r>
    </w:p>
    <w:p w14:paraId="21703896" w14:textId="77777777" w:rsidR="00563D5C" w:rsidRPr="005B56DA" w:rsidRDefault="00563D5C" w:rsidP="00B61DBB"/>
    <w:tbl>
      <w:tblPr>
        <w:tblStyle w:val="TableGrid"/>
        <w:tblW w:w="0" w:type="auto"/>
        <w:tblInd w:w="720" w:type="dxa"/>
        <w:tblBorders>
          <w:top w:val="single" w:sz="4" w:space="0" w:color="1295D8"/>
          <w:left w:val="single" w:sz="4" w:space="0" w:color="1295D8"/>
          <w:bottom w:val="single" w:sz="4" w:space="0" w:color="1295D8"/>
          <w:right w:val="single" w:sz="4" w:space="0" w:color="1295D8"/>
          <w:insideH w:val="single" w:sz="4" w:space="0" w:color="1295D8"/>
          <w:insideV w:val="single" w:sz="4" w:space="0" w:color="1295D8"/>
        </w:tblBorders>
        <w:tblLook w:val="04A0" w:firstRow="1" w:lastRow="0" w:firstColumn="1" w:lastColumn="0" w:noHBand="0" w:noVBand="1"/>
      </w:tblPr>
      <w:tblGrid>
        <w:gridCol w:w="1438"/>
        <w:gridCol w:w="1366"/>
        <w:gridCol w:w="1267"/>
        <w:gridCol w:w="1197"/>
        <w:gridCol w:w="1264"/>
        <w:gridCol w:w="1170"/>
        <w:gridCol w:w="928"/>
      </w:tblGrid>
      <w:tr w:rsidR="001A3450" w:rsidRPr="005B56DA" w14:paraId="324A04B3" w14:textId="77777777" w:rsidTr="00F87187">
        <w:tc>
          <w:tcPr>
            <w:tcW w:w="1441" w:type="dxa"/>
            <w:shd w:val="clear" w:color="auto" w:fill="1295D8"/>
            <w:vAlign w:val="center"/>
          </w:tcPr>
          <w:p w14:paraId="26B1DF0D" w14:textId="4D61DB92" w:rsidR="001A3450" w:rsidRPr="00C57720" w:rsidRDefault="001A3450" w:rsidP="00C57720">
            <w:pPr>
              <w:spacing w:after="0"/>
              <w:jc w:val="center"/>
              <w:rPr>
                <w:b/>
                <w:bCs/>
                <w:color w:val="FFFFFF" w:themeColor="background1"/>
              </w:rPr>
            </w:pPr>
            <w:r w:rsidRPr="00C57720">
              <w:rPr>
                <w:b/>
                <w:bCs/>
                <w:color w:val="FFFFFF" w:themeColor="background1"/>
              </w:rPr>
              <w:t xml:space="preserve">Hazard Category </w:t>
            </w:r>
            <w:r w:rsidR="00F87187">
              <w:rPr>
                <w:b/>
                <w:bCs/>
                <w:color w:val="FFFFFF" w:themeColor="background1"/>
              </w:rPr>
              <w:br/>
            </w:r>
            <w:r w:rsidRPr="00C57720">
              <w:rPr>
                <w:b/>
                <w:bCs/>
                <w:color w:val="FFFFFF" w:themeColor="background1"/>
              </w:rPr>
              <w:t>(+ control area)</w:t>
            </w:r>
          </w:p>
        </w:tc>
        <w:tc>
          <w:tcPr>
            <w:tcW w:w="7189" w:type="dxa"/>
            <w:gridSpan w:val="6"/>
            <w:shd w:val="clear" w:color="auto" w:fill="1295D8"/>
            <w:vAlign w:val="center"/>
          </w:tcPr>
          <w:p w14:paraId="10C6B63D" w14:textId="77777777" w:rsidR="001A3450" w:rsidRPr="00C57720" w:rsidRDefault="001A3450" w:rsidP="00C57720">
            <w:pPr>
              <w:spacing w:after="0"/>
              <w:jc w:val="center"/>
              <w:rPr>
                <w:b/>
                <w:bCs/>
                <w:color w:val="FFFFFF" w:themeColor="background1"/>
              </w:rPr>
            </w:pPr>
            <w:r w:rsidRPr="00C57720">
              <w:rPr>
                <w:b/>
                <w:bCs/>
                <w:color w:val="FFFFFF" w:themeColor="background1"/>
              </w:rPr>
              <w:t>Approach</w:t>
            </w:r>
          </w:p>
        </w:tc>
      </w:tr>
      <w:tr w:rsidR="001A3450" w:rsidRPr="005B56DA" w14:paraId="400EEC8A" w14:textId="77777777" w:rsidTr="00B61DBB">
        <w:trPr>
          <w:trHeight w:val="908"/>
        </w:trPr>
        <w:tc>
          <w:tcPr>
            <w:tcW w:w="1441" w:type="dxa"/>
            <w:shd w:val="clear" w:color="auto" w:fill="D9D9D9" w:themeFill="background1" w:themeFillShade="D9"/>
          </w:tcPr>
          <w:p w14:paraId="5CA305E4" w14:textId="77777777" w:rsidR="001A3450" w:rsidRPr="00F87187" w:rsidRDefault="001A3450" w:rsidP="00F87187">
            <w:pPr>
              <w:spacing w:after="0"/>
              <w:rPr>
                <w:b/>
                <w:bCs/>
              </w:rPr>
            </w:pPr>
          </w:p>
        </w:tc>
        <w:tc>
          <w:tcPr>
            <w:tcW w:w="1366" w:type="dxa"/>
            <w:shd w:val="clear" w:color="auto" w:fill="D9D9D9" w:themeFill="background1" w:themeFillShade="D9"/>
            <w:vAlign w:val="center"/>
          </w:tcPr>
          <w:p w14:paraId="7525E4E0" w14:textId="77777777" w:rsidR="001A3450" w:rsidRPr="00905BD6" w:rsidRDefault="001A3450" w:rsidP="00F87187">
            <w:pPr>
              <w:spacing w:after="0"/>
              <w:jc w:val="center"/>
              <w:rPr>
                <w:b/>
                <w:bCs/>
                <w:sz w:val="21"/>
                <w:szCs w:val="21"/>
              </w:rPr>
            </w:pPr>
            <w:r w:rsidRPr="00905BD6">
              <w:rPr>
                <w:b/>
                <w:bCs/>
                <w:sz w:val="21"/>
                <w:szCs w:val="21"/>
              </w:rPr>
              <w:t>Estimated date of completion</w:t>
            </w:r>
          </w:p>
        </w:tc>
        <w:tc>
          <w:tcPr>
            <w:tcW w:w="1267" w:type="dxa"/>
            <w:shd w:val="clear" w:color="auto" w:fill="D9D9D9" w:themeFill="background1" w:themeFillShade="D9"/>
            <w:vAlign w:val="center"/>
          </w:tcPr>
          <w:p w14:paraId="49CA588A" w14:textId="77777777" w:rsidR="001A3450" w:rsidRPr="00905BD6" w:rsidRDefault="001A3450" w:rsidP="00F87187">
            <w:pPr>
              <w:spacing w:after="0"/>
              <w:jc w:val="center"/>
              <w:rPr>
                <w:b/>
                <w:bCs/>
                <w:sz w:val="21"/>
                <w:szCs w:val="21"/>
              </w:rPr>
            </w:pPr>
            <w:r w:rsidRPr="00905BD6">
              <w:rPr>
                <w:b/>
                <w:bCs/>
                <w:sz w:val="21"/>
                <w:szCs w:val="21"/>
              </w:rPr>
              <w:t>Reduce Quantities</w:t>
            </w:r>
          </w:p>
        </w:tc>
        <w:tc>
          <w:tcPr>
            <w:tcW w:w="1192" w:type="dxa"/>
            <w:shd w:val="clear" w:color="auto" w:fill="D9D9D9" w:themeFill="background1" w:themeFillShade="D9"/>
            <w:vAlign w:val="center"/>
          </w:tcPr>
          <w:p w14:paraId="72B38703" w14:textId="77777777" w:rsidR="001A3450" w:rsidRPr="00905BD6" w:rsidRDefault="001A3450" w:rsidP="00F87187">
            <w:pPr>
              <w:spacing w:after="0"/>
              <w:jc w:val="center"/>
              <w:rPr>
                <w:b/>
                <w:bCs/>
                <w:sz w:val="21"/>
                <w:szCs w:val="21"/>
              </w:rPr>
            </w:pPr>
            <w:r w:rsidRPr="00905BD6">
              <w:rPr>
                <w:b/>
                <w:bCs/>
                <w:sz w:val="21"/>
                <w:szCs w:val="21"/>
              </w:rPr>
              <w:t>Approved storage</w:t>
            </w:r>
          </w:p>
        </w:tc>
        <w:tc>
          <w:tcPr>
            <w:tcW w:w="1265" w:type="dxa"/>
            <w:shd w:val="clear" w:color="auto" w:fill="D9D9D9" w:themeFill="background1" w:themeFillShade="D9"/>
            <w:vAlign w:val="center"/>
          </w:tcPr>
          <w:p w14:paraId="6C4F78F8" w14:textId="77777777" w:rsidR="001A3450" w:rsidRPr="00905BD6" w:rsidRDefault="001A3450" w:rsidP="00F87187">
            <w:pPr>
              <w:spacing w:after="0"/>
              <w:jc w:val="center"/>
              <w:rPr>
                <w:b/>
                <w:bCs/>
                <w:sz w:val="21"/>
                <w:szCs w:val="21"/>
              </w:rPr>
            </w:pPr>
            <w:r w:rsidRPr="00905BD6">
              <w:rPr>
                <w:b/>
                <w:bCs/>
                <w:sz w:val="21"/>
                <w:szCs w:val="21"/>
              </w:rPr>
              <w:t>Move chemicals</w:t>
            </w:r>
          </w:p>
        </w:tc>
        <w:tc>
          <w:tcPr>
            <w:tcW w:w="1170" w:type="dxa"/>
            <w:shd w:val="clear" w:color="auto" w:fill="D9D9D9" w:themeFill="background1" w:themeFillShade="D9"/>
            <w:vAlign w:val="center"/>
          </w:tcPr>
          <w:p w14:paraId="3FE0BE1A" w14:textId="77777777" w:rsidR="001A3450" w:rsidRPr="00905BD6" w:rsidRDefault="001A3450" w:rsidP="00F87187">
            <w:pPr>
              <w:spacing w:after="0"/>
              <w:jc w:val="center"/>
              <w:rPr>
                <w:b/>
                <w:bCs/>
                <w:sz w:val="21"/>
                <w:szCs w:val="21"/>
              </w:rPr>
            </w:pPr>
            <w:r w:rsidRPr="00905BD6">
              <w:rPr>
                <w:b/>
                <w:bCs/>
                <w:sz w:val="21"/>
                <w:szCs w:val="21"/>
              </w:rPr>
              <w:t>Building upgrades</w:t>
            </w:r>
          </w:p>
        </w:tc>
        <w:tc>
          <w:tcPr>
            <w:tcW w:w="929" w:type="dxa"/>
            <w:shd w:val="clear" w:color="auto" w:fill="D9D9D9" w:themeFill="background1" w:themeFillShade="D9"/>
            <w:vAlign w:val="center"/>
          </w:tcPr>
          <w:p w14:paraId="2BE9B69A" w14:textId="77777777" w:rsidR="001A3450" w:rsidRPr="00905BD6" w:rsidRDefault="001A3450" w:rsidP="00F87187">
            <w:pPr>
              <w:spacing w:after="0"/>
              <w:jc w:val="center"/>
              <w:rPr>
                <w:b/>
                <w:bCs/>
                <w:sz w:val="21"/>
                <w:szCs w:val="21"/>
              </w:rPr>
            </w:pPr>
            <w:r w:rsidRPr="00905BD6">
              <w:rPr>
                <w:b/>
                <w:bCs/>
                <w:sz w:val="21"/>
                <w:szCs w:val="21"/>
              </w:rPr>
              <w:t>Other:</w:t>
            </w:r>
          </w:p>
        </w:tc>
      </w:tr>
      <w:tr w:rsidR="001A3450" w:rsidRPr="005B56DA" w14:paraId="2A017437" w14:textId="77777777" w:rsidTr="00905BD6">
        <w:trPr>
          <w:trHeight w:val="1250"/>
        </w:trPr>
        <w:tc>
          <w:tcPr>
            <w:tcW w:w="1441" w:type="dxa"/>
            <w:vAlign w:val="center"/>
          </w:tcPr>
          <w:p w14:paraId="179545A0" w14:textId="77777777" w:rsidR="001A3450" w:rsidRPr="00CA0A7A" w:rsidRDefault="001A3450" w:rsidP="00905BD6">
            <w:pPr>
              <w:spacing w:after="0"/>
              <w:rPr>
                <w:color w:val="BFBFBF" w:themeColor="background1" w:themeShade="BF"/>
              </w:rPr>
            </w:pPr>
            <w:r w:rsidRPr="00CA0A7A">
              <w:rPr>
                <w:color w:val="BFBFBF" w:themeColor="background1" w:themeShade="BF"/>
              </w:rPr>
              <w:t>Flammable liquids, Class I (CA1)</w:t>
            </w:r>
          </w:p>
        </w:tc>
        <w:tc>
          <w:tcPr>
            <w:tcW w:w="1366" w:type="dxa"/>
            <w:vAlign w:val="center"/>
          </w:tcPr>
          <w:p w14:paraId="549CB648"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March 2027</w:t>
            </w:r>
          </w:p>
        </w:tc>
        <w:tc>
          <w:tcPr>
            <w:tcW w:w="1267" w:type="dxa"/>
            <w:vAlign w:val="center"/>
          </w:tcPr>
          <w:p w14:paraId="1B09D9FA"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92" w:type="dxa"/>
            <w:vAlign w:val="center"/>
          </w:tcPr>
          <w:p w14:paraId="63FBFBEC"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265" w:type="dxa"/>
            <w:vAlign w:val="center"/>
          </w:tcPr>
          <w:p w14:paraId="54FC7E1A" w14:textId="77777777" w:rsidR="001A3450" w:rsidRPr="00CA0A7A" w:rsidRDefault="001A3450" w:rsidP="00F87187">
            <w:pPr>
              <w:spacing w:after="0"/>
              <w:jc w:val="center"/>
              <w:rPr>
                <w:color w:val="BFBFBF" w:themeColor="background1" w:themeShade="BF"/>
              </w:rPr>
            </w:pPr>
          </w:p>
        </w:tc>
        <w:tc>
          <w:tcPr>
            <w:tcW w:w="1170" w:type="dxa"/>
            <w:vAlign w:val="center"/>
          </w:tcPr>
          <w:p w14:paraId="757E7E77" w14:textId="77777777" w:rsidR="001A3450" w:rsidRPr="005B56DA" w:rsidRDefault="001A3450" w:rsidP="00F87187">
            <w:pPr>
              <w:spacing w:after="0"/>
              <w:jc w:val="center"/>
            </w:pPr>
          </w:p>
        </w:tc>
        <w:tc>
          <w:tcPr>
            <w:tcW w:w="929" w:type="dxa"/>
            <w:vAlign w:val="center"/>
          </w:tcPr>
          <w:p w14:paraId="10C67EF7" w14:textId="77777777" w:rsidR="001A3450" w:rsidRPr="005B56DA" w:rsidRDefault="001A3450" w:rsidP="00F87187">
            <w:pPr>
              <w:spacing w:after="0"/>
              <w:jc w:val="center"/>
            </w:pPr>
          </w:p>
        </w:tc>
      </w:tr>
      <w:tr w:rsidR="001A3450" w:rsidRPr="005B56DA" w14:paraId="24D292F7" w14:textId="77777777" w:rsidTr="00905BD6">
        <w:trPr>
          <w:trHeight w:val="1115"/>
        </w:trPr>
        <w:tc>
          <w:tcPr>
            <w:tcW w:w="1441" w:type="dxa"/>
            <w:vAlign w:val="center"/>
          </w:tcPr>
          <w:p w14:paraId="14D43B73" w14:textId="77777777" w:rsidR="001A3450" w:rsidRPr="00CA0A7A" w:rsidRDefault="001A3450" w:rsidP="00905BD6">
            <w:pPr>
              <w:spacing w:after="0"/>
              <w:rPr>
                <w:color w:val="BFBFBF" w:themeColor="background1" w:themeShade="BF"/>
              </w:rPr>
            </w:pPr>
            <w:r w:rsidRPr="00CA0A7A">
              <w:rPr>
                <w:color w:val="BFBFBF" w:themeColor="background1" w:themeShade="BF"/>
              </w:rPr>
              <w:t>Toxic liquids (CA1)</w:t>
            </w:r>
          </w:p>
        </w:tc>
        <w:tc>
          <w:tcPr>
            <w:tcW w:w="1366" w:type="dxa"/>
            <w:vAlign w:val="center"/>
          </w:tcPr>
          <w:p w14:paraId="2CF9599C"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May 2027</w:t>
            </w:r>
          </w:p>
        </w:tc>
        <w:tc>
          <w:tcPr>
            <w:tcW w:w="1267" w:type="dxa"/>
            <w:vAlign w:val="center"/>
          </w:tcPr>
          <w:p w14:paraId="74EF7D4D"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92" w:type="dxa"/>
            <w:vAlign w:val="center"/>
          </w:tcPr>
          <w:p w14:paraId="22A6E5B1"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265" w:type="dxa"/>
            <w:vAlign w:val="center"/>
          </w:tcPr>
          <w:p w14:paraId="77C66E5F" w14:textId="77777777" w:rsidR="001A3450" w:rsidRPr="00CA0A7A" w:rsidRDefault="001A3450" w:rsidP="00F87187">
            <w:pPr>
              <w:spacing w:after="0"/>
              <w:jc w:val="center"/>
              <w:rPr>
                <w:color w:val="BFBFBF" w:themeColor="background1" w:themeShade="BF"/>
              </w:rPr>
            </w:pPr>
          </w:p>
        </w:tc>
        <w:tc>
          <w:tcPr>
            <w:tcW w:w="1170" w:type="dxa"/>
            <w:vAlign w:val="center"/>
          </w:tcPr>
          <w:p w14:paraId="12851FC3" w14:textId="77777777" w:rsidR="001A3450" w:rsidRPr="005B56DA" w:rsidRDefault="001A3450" w:rsidP="00F87187">
            <w:pPr>
              <w:spacing w:after="0"/>
              <w:jc w:val="center"/>
            </w:pPr>
          </w:p>
        </w:tc>
        <w:tc>
          <w:tcPr>
            <w:tcW w:w="929" w:type="dxa"/>
            <w:vAlign w:val="center"/>
          </w:tcPr>
          <w:p w14:paraId="18202906" w14:textId="77777777" w:rsidR="001A3450" w:rsidRPr="005B56DA" w:rsidRDefault="001A3450" w:rsidP="00F87187">
            <w:pPr>
              <w:spacing w:after="0"/>
              <w:jc w:val="center"/>
            </w:pPr>
          </w:p>
        </w:tc>
      </w:tr>
      <w:tr w:rsidR="001A3450" w:rsidRPr="005B56DA" w14:paraId="5C096F4A" w14:textId="77777777" w:rsidTr="00905BD6">
        <w:tc>
          <w:tcPr>
            <w:tcW w:w="1441" w:type="dxa"/>
            <w:vAlign w:val="center"/>
          </w:tcPr>
          <w:p w14:paraId="3D5CC1A8" w14:textId="77777777" w:rsidR="001A3450" w:rsidRPr="00CA0A7A" w:rsidRDefault="001A3450" w:rsidP="00905BD6">
            <w:pPr>
              <w:spacing w:after="0"/>
              <w:rPr>
                <w:color w:val="BFBFBF" w:themeColor="background1" w:themeShade="BF"/>
              </w:rPr>
            </w:pPr>
            <w:r w:rsidRPr="00CA0A7A">
              <w:rPr>
                <w:color w:val="BFBFBF" w:themeColor="background1" w:themeShade="BF"/>
              </w:rPr>
              <w:t>Flammable gases (CA1)</w:t>
            </w:r>
          </w:p>
        </w:tc>
        <w:tc>
          <w:tcPr>
            <w:tcW w:w="1366" w:type="dxa"/>
            <w:vAlign w:val="center"/>
          </w:tcPr>
          <w:p w14:paraId="2A7E1F27"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March 2027</w:t>
            </w:r>
          </w:p>
        </w:tc>
        <w:tc>
          <w:tcPr>
            <w:tcW w:w="1267" w:type="dxa"/>
            <w:vAlign w:val="center"/>
          </w:tcPr>
          <w:p w14:paraId="437DDBD5"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92" w:type="dxa"/>
            <w:vAlign w:val="center"/>
          </w:tcPr>
          <w:p w14:paraId="4E674ADA" w14:textId="77777777" w:rsidR="001A3450" w:rsidRPr="00CA0A7A" w:rsidRDefault="001A3450" w:rsidP="00F87187">
            <w:pPr>
              <w:spacing w:after="0"/>
              <w:jc w:val="center"/>
              <w:rPr>
                <w:color w:val="BFBFBF" w:themeColor="background1" w:themeShade="BF"/>
              </w:rPr>
            </w:pPr>
          </w:p>
        </w:tc>
        <w:tc>
          <w:tcPr>
            <w:tcW w:w="1265" w:type="dxa"/>
            <w:vAlign w:val="center"/>
          </w:tcPr>
          <w:p w14:paraId="6BAF6A2E"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70" w:type="dxa"/>
            <w:vAlign w:val="center"/>
          </w:tcPr>
          <w:p w14:paraId="43895083" w14:textId="77777777" w:rsidR="001A3450" w:rsidRPr="005B56DA" w:rsidRDefault="001A3450" w:rsidP="00F87187">
            <w:pPr>
              <w:spacing w:after="0"/>
              <w:jc w:val="center"/>
            </w:pPr>
            <w:r w:rsidRPr="00DB6F0A">
              <w:rPr>
                <w:color w:val="BFBFBF" w:themeColor="background1" w:themeShade="BF"/>
              </w:rPr>
              <w:t>YES: construct gas cages outside</w:t>
            </w:r>
          </w:p>
        </w:tc>
        <w:tc>
          <w:tcPr>
            <w:tcW w:w="929" w:type="dxa"/>
            <w:vAlign w:val="center"/>
          </w:tcPr>
          <w:p w14:paraId="05E2775A" w14:textId="77777777" w:rsidR="001A3450" w:rsidRPr="005B56DA" w:rsidRDefault="001A3450" w:rsidP="00F87187">
            <w:pPr>
              <w:spacing w:after="0"/>
              <w:jc w:val="center"/>
            </w:pPr>
          </w:p>
        </w:tc>
      </w:tr>
      <w:tr w:rsidR="00F87187" w:rsidRPr="005B56DA" w14:paraId="14A5AA0E" w14:textId="77777777" w:rsidTr="00905BD6">
        <w:tc>
          <w:tcPr>
            <w:tcW w:w="8630" w:type="dxa"/>
            <w:gridSpan w:val="7"/>
            <w:shd w:val="clear" w:color="auto" w:fill="D9D9D9" w:themeFill="background1" w:themeFillShade="D9"/>
          </w:tcPr>
          <w:p w14:paraId="1126B2CA" w14:textId="77777777" w:rsidR="00F87187" w:rsidRPr="00CA0A7A" w:rsidRDefault="00F87187" w:rsidP="00F87187">
            <w:pPr>
              <w:spacing w:after="0"/>
              <w:jc w:val="center"/>
              <w:rPr>
                <w:color w:val="BFBFBF" w:themeColor="background1" w:themeShade="BF"/>
              </w:rPr>
            </w:pPr>
          </w:p>
        </w:tc>
      </w:tr>
      <w:tr w:rsidR="001A3450" w:rsidRPr="005B56DA" w14:paraId="143E4D95" w14:textId="77777777" w:rsidTr="00803406">
        <w:trPr>
          <w:trHeight w:val="1421"/>
        </w:trPr>
        <w:tc>
          <w:tcPr>
            <w:tcW w:w="1441" w:type="dxa"/>
            <w:vAlign w:val="center"/>
          </w:tcPr>
          <w:p w14:paraId="3279972E" w14:textId="77777777" w:rsidR="001A3450" w:rsidRPr="00CA0A7A" w:rsidRDefault="001A3450" w:rsidP="00905BD6">
            <w:pPr>
              <w:spacing w:after="0"/>
              <w:rPr>
                <w:color w:val="BFBFBF" w:themeColor="background1" w:themeShade="BF"/>
              </w:rPr>
            </w:pPr>
            <w:r w:rsidRPr="00CA0A7A">
              <w:rPr>
                <w:color w:val="BFBFBF" w:themeColor="background1" w:themeShade="BF"/>
              </w:rPr>
              <w:t>Flammable liquids, Class I (CA2)</w:t>
            </w:r>
          </w:p>
        </w:tc>
        <w:tc>
          <w:tcPr>
            <w:tcW w:w="1366" w:type="dxa"/>
            <w:vAlign w:val="center"/>
          </w:tcPr>
          <w:p w14:paraId="7DA98D1C"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March 2027</w:t>
            </w:r>
          </w:p>
        </w:tc>
        <w:tc>
          <w:tcPr>
            <w:tcW w:w="1267" w:type="dxa"/>
            <w:vAlign w:val="center"/>
          </w:tcPr>
          <w:p w14:paraId="6C975D5C"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92" w:type="dxa"/>
            <w:vAlign w:val="center"/>
          </w:tcPr>
          <w:p w14:paraId="05E58BBC"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265" w:type="dxa"/>
            <w:vAlign w:val="center"/>
          </w:tcPr>
          <w:p w14:paraId="522E61C5" w14:textId="77777777" w:rsidR="001A3450" w:rsidRPr="00CA0A7A" w:rsidRDefault="001A3450" w:rsidP="00F87187">
            <w:pPr>
              <w:spacing w:after="0"/>
              <w:jc w:val="center"/>
              <w:rPr>
                <w:color w:val="BFBFBF" w:themeColor="background1" w:themeShade="BF"/>
              </w:rPr>
            </w:pPr>
          </w:p>
        </w:tc>
        <w:tc>
          <w:tcPr>
            <w:tcW w:w="1170" w:type="dxa"/>
            <w:vAlign w:val="center"/>
          </w:tcPr>
          <w:p w14:paraId="58699E6D" w14:textId="77777777" w:rsidR="001A3450" w:rsidRPr="005B56DA" w:rsidRDefault="001A3450" w:rsidP="00F87187">
            <w:pPr>
              <w:spacing w:after="0"/>
              <w:jc w:val="center"/>
            </w:pPr>
          </w:p>
        </w:tc>
        <w:tc>
          <w:tcPr>
            <w:tcW w:w="929" w:type="dxa"/>
            <w:vAlign w:val="center"/>
          </w:tcPr>
          <w:p w14:paraId="66EFAFF6" w14:textId="77777777" w:rsidR="001A3450" w:rsidRPr="005B56DA" w:rsidRDefault="001A3450" w:rsidP="00F87187">
            <w:pPr>
              <w:spacing w:after="0"/>
              <w:jc w:val="center"/>
            </w:pPr>
          </w:p>
        </w:tc>
      </w:tr>
      <w:tr w:rsidR="001A3450" w:rsidRPr="005B56DA" w14:paraId="29009879" w14:textId="77777777" w:rsidTr="00803406">
        <w:trPr>
          <w:trHeight w:val="1349"/>
        </w:trPr>
        <w:tc>
          <w:tcPr>
            <w:tcW w:w="1441" w:type="dxa"/>
            <w:vAlign w:val="center"/>
          </w:tcPr>
          <w:p w14:paraId="3532FF1B" w14:textId="77777777" w:rsidR="001A3450" w:rsidRPr="00CA0A7A" w:rsidRDefault="001A3450" w:rsidP="00905BD6">
            <w:pPr>
              <w:spacing w:after="0"/>
              <w:rPr>
                <w:color w:val="BFBFBF" w:themeColor="background1" w:themeShade="BF"/>
              </w:rPr>
            </w:pPr>
            <w:r w:rsidRPr="00CA0A7A">
              <w:rPr>
                <w:color w:val="BFBFBF" w:themeColor="background1" w:themeShade="BF"/>
              </w:rPr>
              <w:lastRenderedPageBreak/>
              <w:t>Highly toxic liquids (CA2)</w:t>
            </w:r>
          </w:p>
        </w:tc>
        <w:tc>
          <w:tcPr>
            <w:tcW w:w="1366" w:type="dxa"/>
            <w:vAlign w:val="center"/>
          </w:tcPr>
          <w:p w14:paraId="00718E92"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May 2027</w:t>
            </w:r>
          </w:p>
        </w:tc>
        <w:tc>
          <w:tcPr>
            <w:tcW w:w="1267" w:type="dxa"/>
            <w:vAlign w:val="center"/>
          </w:tcPr>
          <w:p w14:paraId="1F772FC3"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192" w:type="dxa"/>
            <w:vAlign w:val="center"/>
          </w:tcPr>
          <w:p w14:paraId="3A701293" w14:textId="77777777" w:rsidR="001A3450" w:rsidRPr="00CA0A7A" w:rsidRDefault="001A3450" w:rsidP="00F87187">
            <w:pPr>
              <w:spacing w:after="0"/>
              <w:jc w:val="center"/>
              <w:rPr>
                <w:color w:val="BFBFBF" w:themeColor="background1" w:themeShade="BF"/>
              </w:rPr>
            </w:pPr>
            <w:r w:rsidRPr="00CA0A7A">
              <w:rPr>
                <w:color w:val="BFBFBF" w:themeColor="background1" w:themeShade="BF"/>
              </w:rPr>
              <w:t>YES</w:t>
            </w:r>
          </w:p>
        </w:tc>
        <w:tc>
          <w:tcPr>
            <w:tcW w:w="1265" w:type="dxa"/>
            <w:vAlign w:val="center"/>
          </w:tcPr>
          <w:p w14:paraId="7885625C" w14:textId="77777777" w:rsidR="001A3450" w:rsidRPr="00CA0A7A" w:rsidRDefault="001A3450" w:rsidP="00F87187">
            <w:pPr>
              <w:spacing w:after="0"/>
              <w:jc w:val="center"/>
              <w:rPr>
                <w:color w:val="BFBFBF" w:themeColor="background1" w:themeShade="BF"/>
              </w:rPr>
            </w:pPr>
          </w:p>
        </w:tc>
        <w:tc>
          <w:tcPr>
            <w:tcW w:w="1170" w:type="dxa"/>
            <w:vAlign w:val="center"/>
          </w:tcPr>
          <w:p w14:paraId="301B5A8F" w14:textId="77777777" w:rsidR="001A3450" w:rsidRPr="005B56DA" w:rsidRDefault="001A3450" w:rsidP="00F87187">
            <w:pPr>
              <w:spacing w:after="0"/>
              <w:jc w:val="center"/>
            </w:pPr>
          </w:p>
        </w:tc>
        <w:tc>
          <w:tcPr>
            <w:tcW w:w="929" w:type="dxa"/>
            <w:vAlign w:val="center"/>
          </w:tcPr>
          <w:p w14:paraId="246DF299" w14:textId="77777777" w:rsidR="001A3450" w:rsidRPr="005B56DA" w:rsidRDefault="001A3450" w:rsidP="00F87187">
            <w:pPr>
              <w:spacing w:after="0"/>
              <w:jc w:val="center"/>
            </w:pPr>
          </w:p>
        </w:tc>
      </w:tr>
    </w:tbl>
    <w:p w14:paraId="43E7D7FE" w14:textId="77777777" w:rsidR="00604507" w:rsidRPr="005B56DA" w:rsidRDefault="00604507" w:rsidP="0006762B">
      <w:pPr>
        <w:pStyle w:val="ListParagraph"/>
      </w:pPr>
    </w:p>
    <w:p w14:paraId="478FB995" w14:textId="7C98D209" w:rsidR="0043072D" w:rsidRPr="005B56DA" w:rsidRDefault="00604507" w:rsidP="0006762B">
      <w:r w:rsidRPr="005B56DA">
        <w:t>Document improvements</w:t>
      </w:r>
    </w:p>
    <w:p w14:paraId="0C5A3A01" w14:textId="0282FE47" w:rsidR="00251421" w:rsidRPr="00C359B7" w:rsidRDefault="00362A88" w:rsidP="0006762B">
      <w:pPr>
        <w:pStyle w:val="Heading2"/>
      </w:pPr>
      <w:bookmarkStart w:id="11" w:name="_Toc188448201"/>
      <w:r w:rsidRPr="005B56DA">
        <w:t>Maintaining MAQ Compliance –</w:t>
      </w:r>
      <w:r w:rsidR="001702DA" w:rsidRPr="005B56DA">
        <w:t xml:space="preserve"> </w:t>
      </w:r>
      <w:r w:rsidRPr="005B56DA">
        <w:t>Review</w:t>
      </w:r>
      <w:r w:rsidR="001702DA" w:rsidRPr="005B56DA">
        <w:t xml:space="preserve"> and Enforcemen</w:t>
      </w:r>
      <w:r w:rsidR="00225B00" w:rsidRPr="005B56DA">
        <w:t>t</w:t>
      </w:r>
      <w:bookmarkEnd w:id="11"/>
    </w:p>
    <w:p w14:paraId="28BDDB4C" w14:textId="77777777" w:rsidR="00225B00" w:rsidRPr="005B56DA" w:rsidRDefault="00225B00" w:rsidP="00587B45">
      <w:pPr>
        <w:pStyle w:val="Heading3"/>
      </w:pPr>
      <w:r w:rsidRPr="005B56DA">
        <w:t>Chemical Inventory</w:t>
      </w:r>
      <w:bookmarkStart w:id="12" w:name="_Toc139615826"/>
      <w:r w:rsidRPr="005B56DA">
        <w:t xml:space="preserve"> </w:t>
      </w:r>
      <w:bookmarkEnd w:id="12"/>
    </w:p>
    <w:p w14:paraId="39464D06" w14:textId="28DC2454" w:rsidR="00225B00" w:rsidRPr="005B56DA" w:rsidRDefault="00225B00" w:rsidP="0006762B">
      <w:r w:rsidRPr="00803406">
        <w:t>Option 1</w:t>
      </w:r>
      <w:r w:rsidRPr="004E3AE1">
        <w:t>:</w:t>
      </w:r>
      <w:r w:rsidRPr="005B56DA">
        <w:t xml:space="preserve"> EH&amp;S will perform reconciliation of all chemical containers at xx location on an (annual) basis. This ensures that trained personnel review all chemical inventories for accuracy. </w:t>
      </w:r>
    </w:p>
    <w:p w14:paraId="1692B24D" w14:textId="1F2227BC" w:rsidR="00225B00" w:rsidRPr="005B56DA" w:rsidRDefault="00225B00" w:rsidP="0006762B">
      <w:r w:rsidRPr="00803406">
        <w:t>Option 2</w:t>
      </w:r>
      <w:r w:rsidRPr="005B56DA">
        <w:t xml:space="preserve">: Chemical Inventory Owners (CIOs) are required to maintain an accurate chemical inventory in RSS Chemicals. Training shall be provided so that all CIOs or Departments develop a protocol where all members are trained to delete outgoing chemicals and add new chemicals when ordered. Users will review their chemical inventory prior to ordering any new chemicals to minimize duplicate chemicals. While it is reasonable to have two containers of the same chemical (one in use and the other as a replacement), CIOs should avoid stockpiling multiple containers of the same chemical.  </w:t>
      </w:r>
    </w:p>
    <w:p w14:paraId="14CEF696" w14:textId="77777777" w:rsidR="00225B00" w:rsidRPr="005B56DA" w:rsidRDefault="00225B00" w:rsidP="00587B45">
      <w:pPr>
        <w:pStyle w:val="Heading3"/>
      </w:pPr>
      <w:r w:rsidRPr="005B56DA">
        <w:t>Chemical Location</w:t>
      </w:r>
    </w:p>
    <w:p w14:paraId="62D69E53" w14:textId="66831FBF" w:rsidR="00225B00" w:rsidRPr="005B56DA" w:rsidRDefault="00225B00" w:rsidP="0006762B">
      <w:r w:rsidRPr="005B56DA">
        <w:t xml:space="preserve">In addition to maintaining accurate chemical inventories, CIOs are required to indicate the correct location (building and room) for chemicals. If a chemical is moved from one location to another, this must be updated within RSS Chemicals. The rooms and buildings are assigned by the CFM to the appropriate control area or laboratory suite. </w:t>
      </w:r>
    </w:p>
    <w:p w14:paraId="5E84BB14" w14:textId="77777777" w:rsidR="00225B00" w:rsidRPr="005B56DA" w:rsidRDefault="00225B00" w:rsidP="00587B45">
      <w:pPr>
        <w:pStyle w:val="Heading3"/>
      </w:pPr>
      <w:r w:rsidRPr="005B56DA">
        <w:t>Chemical Storage</w:t>
      </w:r>
    </w:p>
    <w:p w14:paraId="758318D5" w14:textId="415CA0CF" w:rsidR="00803406" w:rsidRDefault="00225B00" w:rsidP="00803406">
      <w:r w:rsidRPr="005B56DA">
        <w:t xml:space="preserve">Ideally, all chemicals </w:t>
      </w:r>
      <w:r w:rsidR="00326F05" w:rsidRPr="005B56DA">
        <w:t>will</w:t>
      </w:r>
      <w:r w:rsidRPr="005B56DA">
        <w:t xml:space="preserve"> be stored at the end of the day within approved storage cabinets or other appropriate storage. Experimental protocols include returning chemical containers to their approved storage location after experiments are completed, particularly for high hazard chemicals which are required </w:t>
      </w:r>
      <w:r w:rsidR="00326F05" w:rsidRPr="005B56DA">
        <w:t xml:space="preserve">to </w:t>
      </w:r>
      <w:r w:rsidRPr="005B56DA">
        <w:t xml:space="preserve">be in approved storage. </w:t>
      </w:r>
      <w:bookmarkStart w:id="13" w:name="_Toc139615829"/>
    </w:p>
    <w:p w14:paraId="5133B1AD" w14:textId="43EE56A6" w:rsidR="00225B00" w:rsidRPr="003041D5" w:rsidRDefault="00225B00" w:rsidP="003041D5">
      <w:pPr>
        <w:pStyle w:val="Heading3"/>
      </w:pPr>
      <w:r w:rsidRPr="003041D5">
        <w:t>Inspections and Audits</w:t>
      </w:r>
      <w:bookmarkEnd w:id="13"/>
      <w:r w:rsidRPr="003041D5">
        <w:t xml:space="preserve"> </w:t>
      </w:r>
    </w:p>
    <w:p w14:paraId="4B4E973A" w14:textId="77777777" w:rsidR="00803406" w:rsidRPr="00DC73C1" w:rsidRDefault="00225B00" w:rsidP="001E17F6">
      <w:pPr>
        <w:spacing w:after="0"/>
        <w:rPr>
          <w:color w:val="005588"/>
        </w:rPr>
      </w:pPr>
      <w:bookmarkStart w:id="14" w:name="_Toc139615830"/>
      <w:r w:rsidRPr="00DC73C1">
        <w:rPr>
          <w:color w:val="005588"/>
        </w:rPr>
        <w:t>Annual Inspection – Lab Safety Program</w:t>
      </w:r>
      <w:bookmarkEnd w:id="14"/>
    </w:p>
    <w:p w14:paraId="34BBAEE9" w14:textId="1B55F2C1" w:rsidR="00225B00" w:rsidRPr="00803406" w:rsidRDefault="00225B00" w:rsidP="00361936">
      <w:pPr>
        <w:rPr>
          <w:b/>
        </w:rPr>
      </w:pPr>
      <w:r w:rsidRPr="00803406">
        <w:t xml:space="preserve">Lab Inspectors will perform annual inspections of all laboratories at </w:t>
      </w:r>
      <w:r w:rsidR="00326F05" w:rsidRPr="00803406">
        <w:t>UC xx</w:t>
      </w:r>
      <w:r w:rsidRPr="00803406">
        <w:t xml:space="preserve">. While they are not explicitly looking for MAQ violations, they will note general housekeeping, chemical storage, and chemical inventory accuracy. </w:t>
      </w:r>
    </w:p>
    <w:p w14:paraId="371879E9" w14:textId="77777777" w:rsidR="00803406" w:rsidRPr="00DC73C1" w:rsidRDefault="00225B00" w:rsidP="001E17F6">
      <w:pPr>
        <w:spacing w:before="240" w:after="0"/>
        <w:rPr>
          <w:color w:val="005588"/>
        </w:rPr>
      </w:pPr>
      <w:bookmarkStart w:id="15" w:name="_Toc139615831"/>
      <w:r w:rsidRPr="00DC73C1">
        <w:rPr>
          <w:color w:val="005588"/>
        </w:rPr>
        <w:t>Annual Audit – Fire Prevention</w:t>
      </w:r>
      <w:bookmarkEnd w:id="15"/>
    </w:p>
    <w:p w14:paraId="5AFE9D3E" w14:textId="2D515964" w:rsidR="00225B00" w:rsidRPr="00803406" w:rsidRDefault="00225B00" w:rsidP="00361936">
      <w:pPr>
        <w:rPr>
          <w:b/>
        </w:rPr>
      </w:pPr>
      <w:r w:rsidRPr="00803406">
        <w:t xml:space="preserve">Fire Prevention will perform an annual review of </w:t>
      </w:r>
      <w:r w:rsidR="00326F05" w:rsidRPr="00803406">
        <w:t>campus buildings</w:t>
      </w:r>
      <w:r w:rsidR="00BE3ABF" w:rsidRPr="00803406">
        <w:t xml:space="preserve">. </w:t>
      </w:r>
      <w:r w:rsidR="00133893" w:rsidRPr="00803406">
        <w:t>CIOs in a</w:t>
      </w:r>
      <w:r w:rsidR="00BE3ABF" w:rsidRPr="00803406">
        <w:t xml:space="preserve">ny </w:t>
      </w:r>
      <w:r w:rsidR="00326F05" w:rsidRPr="00803406">
        <w:t>control area/laboratory suite</w:t>
      </w:r>
      <w:r w:rsidRPr="00803406">
        <w:t xml:space="preserve"> </w:t>
      </w:r>
      <w:r w:rsidR="00BE3ABF" w:rsidRPr="00803406">
        <w:t xml:space="preserve">that </w:t>
      </w:r>
      <w:r w:rsidRPr="00803406">
        <w:t>exceeds MAQ</w:t>
      </w:r>
      <w:r w:rsidR="00326F05" w:rsidRPr="00803406">
        <w:t>s</w:t>
      </w:r>
      <w:r w:rsidR="00133893" w:rsidRPr="00803406">
        <w:t xml:space="preserve"> </w:t>
      </w:r>
      <w:r w:rsidR="00326F05" w:rsidRPr="00803406">
        <w:t xml:space="preserve">will be notified if they have chemicals contributing to </w:t>
      </w:r>
      <w:r w:rsidR="00326F05" w:rsidRPr="00803406">
        <w:lastRenderedPageBreak/>
        <w:t xml:space="preserve">the overage. </w:t>
      </w:r>
      <w:r w:rsidRPr="00803406">
        <w:t>A violation escalation process will begin upon sharing the HMIS report with the CIO</w:t>
      </w:r>
      <w:r w:rsidR="00326F05" w:rsidRPr="00803406">
        <w:t xml:space="preserve"> and the DSC</w:t>
      </w:r>
      <w:r w:rsidRPr="00803406">
        <w:t xml:space="preserve">. </w:t>
      </w:r>
    </w:p>
    <w:p w14:paraId="74E34A0F" w14:textId="77777777" w:rsidR="00225B00" w:rsidRPr="00803406" w:rsidRDefault="00225B00" w:rsidP="00803406">
      <w:pPr>
        <w:spacing w:before="240" w:after="0"/>
        <w:rPr>
          <w:b/>
          <w:bCs/>
        </w:rPr>
      </w:pPr>
      <w:bookmarkStart w:id="16" w:name="_Toc139615835"/>
      <w:r w:rsidRPr="00803406">
        <w:rPr>
          <w:b/>
          <w:bCs/>
        </w:rPr>
        <w:t>Violation Escalation Process</w:t>
      </w:r>
      <w:bookmarkEnd w:id="16"/>
    </w:p>
    <w:p w14:paraId="727B3F07" w14:textId="337DEA0B" w:rsidR="00391A75" w:rsidRPr="005B56DA" w:rsidRDefault="00DE4659" w:rsidP="00361936">
      <w:r w:rsidRPr="00803406">
        <w:t>Example strategy</w:t>
      </w:r>
      <w:r w:rsidRPr="005B56DA">
        <w:t xml:space="preserve">: </w:t>
      </w:r>
      <w:r w:rsidR="00225B00" w:rsidRPr="005B56DA">
        <w:t xml:space="preserve">When MAQs have been exceeded, </w:t>
      </w:r>
      <w:r w:rsidR="00920EE2" w:rsidRPr="005B56DA">
        <w:t>the</w:t>
      </w:r>
      <w:r w:rsidR="00326F05" w:rsidRPr="005B56DA">
        <w:t xml:space="preserve"> </w:t>
      </w:r>
      <w:r w:rsidR="009A1D81" w:rsidRPr="00587B45">
        <w:t>D</w:t>
      </w:r>
      <w:r w:rsidR="00326F05" w:rsidRPr="00587B45">
        <w:t>CFM</w:t>
      </w:r>
      <w:r w:rsidR="00225B00" w:rsidRPr="00587B45">
        <w:t xml:space="preserve"> </w:t>
      </w:r>
      <w:r w:rsidR="00920EE2" w:rsidRPr="00795FA7">
        <w:rPr>
          <w:color w:val="BFBFBF" w:themeColor="background1" w:themeShade="BF"/>
        </w:rPr>
        <w:t xml:space="preserve">(or EH&amp;S) </w:t>
      </w:r>
      <w:r w:rsidR="00225B00" w:rsidRPr="005B56DA">
        <w:t xml:space="preserve">will </w:t>
      </w:r>
      <w:r w:rsidR="00133893" w:rsidRPr="005B56DA">
        <w:t>notify DSCs</w:t>
      </w:r>
      <w:r w:rsidR="00225B00" w:rsidRPr="005B56DA">
        <w:t xml:space="preserve"> of the overage</w:t>
      </w:r>
      <w:r w:rsidR="00133893" w:rsidRPr="005B56DA">
        <w:t xml:space="preserve">. DSCs will facilitate coordination among CIOs and the </w:t>
      </w:r>
      <w:r w:rsidR="009A1D81" w:rsidRPr="005B56DA">
        <w:t>D</w:t>
      </w:r>
      <w:r w:rsidR="00133893" w:rsidRPr="005B56DA">
        <w:t xml:space="preserve">CFM to </w:t>
      </w:r>
      <w:r w:rsidR="00FA0BD4" w:rsidRPr="005B56DA">
        <w:t>discuss options for achieving compliance. Describe timeframe for achieving compliance. Describe method for escalating issues when CIOs are non-cooperative.</w:t>
      </w:r>
    </w:p>
    <w:sectPr w:rsidR="00391A75" w:rsidRPr="005B56DA" w:rsidSect="00781C6E">
      <w:headerReference w:type="default" r:id="rId8"/>
      <w:footerReference w:type="even" r:id="rId9"/>
      <w:footerReference w:type="default" r:id="rId10"/>
      <w:pgSz w:w="12240" w:h="15840"/>
      <w:pgMar w:top="1440" w:right="1440" w:bottom="1152"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1509" w14:textId="77777777" w:rsidR="00B73279" w:rsidRDefault="00B73279" w:rsidP="0006762B">
      <w:r>
        <w:separator/>
      </w:r>
    </w:p>
  </w:endnote>
  <w:endnote w:type="continuationSeparator" w:id="0">
    <w:p w14:paraId="5902EAC3" w14:textId="77777777" w:rsidR="00B73279" w:rsidRDefault="00B73279" w:rsidP="0006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38594"/>
      <w:docPartObj>
        <w:docPartGallery w:val="Page Numbers (Bottom of Page)"/>
        <w:docPartUnique/>
      </w:docPartObj>
    </w:sdtPr>
    <w:sdtContent>
      <w:p w14:paraId="79D0605E" w14:textId="11F34C00" w:rsidR="00C63889" w:rsidRDefault="00C63889" w:rsidP="00FC3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6DAD02" w14:textId="77777777" w:rsidR="00C63889" w:rsidRDefault="00C63889" w:rsidP="00C6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8575867"/>
      <w:docPartObj>
        <w:docPartGallery w:val="Page Numbers (Bottom of Page)"/>
        <w:docPartUnique/>
      </w:docPartObj>
    </w:sdtPr>
    <w:sdtContent>
      <w:p w14:paraId="4E17AE57" w14:textId="546EC506" w:rsidR="00C63889" w:rsidRDefault="00C63889" w:rsidP="00C63889">
        <w:pPr>
          <w:pStyle w:val="Footer"/>
          <w:framePr w:wrap="none" w:vAnchor="text" w:hAnchor="page" w:x="10767"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DDB6E" w14:textId="7779B87C" w:rsidR="00C63889" w:rsidRDefault="00C63889" w:rsidP="00C6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1F7C" w14:textId="77777777" w:rsidR="00B73279" w:rsidRDefault="00B73279" w:rsidP="0006762B">
      <w:r>
        <w:separator/>
      </w:r>
    </w:p>
  </w:footnote>
  <w:footnote w:type="continuationSeparator" w:id="0">
    <w:p w14:paraId="33D89B44" w14:textId="77777777" w:rsidR="00B73279" w:rsidRDefault="00B73279" w:rsidP="0006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ABCD" w14:textId="2327BEAF" w:rsidR="00BF6F44" w:rsidRDefault="005B56DA" w:rsidP="0006762B">
    <w:pPr>
      <w:pStyle w:val="Header"/>
    </w:pPr>
    <w:r w:rsidRPr="00932BA2">
      <w:rPr>
        <w:noProof/>
      </w:rPr>
      <w:drawing>
        <wp:anchor distT="0" distB="0" distL="114300" distR="114300" simplePos="0" relativeHeight="251659264" behindDoc="1" locked="0" layoutInCell="1" allowOverlap="1" wp14:anchorId="46CB06C2" wp14:editId="75CF0961">
          <wp:simplePos x="0" y="0"/>
          <wp:positionH relativeFrom="page">
            <wp:posOffset>914400</wp:posOffset>
          </wp:positionH>
          <wp:positionV relativeFrom="page">
            <wp:posOffset>457200</wp:posOffset>
          </wp:positionV>
          <wp:extent cx="1078992" cy="539496"/>
          <wp:effectExtent l="0" t="0" r="0" b="0"/>
          <wp:wrapNone/>
          <wp:docPr id="297747195" name="Picture 297747195" descr="../Assets/UC_word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UC_wordm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5394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6F9B"/>
    <w:multiLevelType w:val="hybridMultilevel"/>
    <w:tmpl w:val="DC6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F4F22"/>
    <w:multiLevelType w:val="hybridMultilevel"/>
    <w:tmpl w:val="2008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328C0"/>
    <w:multiLevelType w:val="hybridMultilevel"/>
    <w:tmpl w:val="F6C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A5C60"/>
    <w:multiLevelType w:val="hybridMultilevel"/>
    <w:tmpl w:val="43FA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D3A50"/>
    <w:multiLevelType w:val="hybridMultilevel"/>
    <w:tmpl w:val="A4C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86632"/>
    <w:multiLevelType w:val="hybridMultilevel"/>
    <w:tmpl w:val="9D1CC92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 w15:restartNumberingAfterBreak="0">
    <w:nsid w:val="2E5116EA"/>
    <w:multiLevelType w:val="hybridMultilevel"/>
    <w:tmpl w:val="A2C0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71D59"/>
    <w:multiLevelType w:val="hybridMultilevel"/>
    <w:tmpl w:val="0F6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C4A65"/>
    <w:multiLevelType w:val="hybridMultilevel"/>
    <w:tmpl w:val="B53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0780"/>
    <w:multiLevelType w:val="hybridMultilevel"/>
    <w:tmpl w:val="150C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24809"/>
    <w:multiLevelType w:val="hybridMultilevel"/>
    <w:tmpl w:val="6EE82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40593B"/>
    <w:multiLevelType w:val="hybridMultilevel"/>
    <w:tmpl w:val="0B40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075588">
    <w:abstractNumId w:val="10"/>
  </w:num>
  <w:num w:numId="2" w16cid:durableId="1544094449">
    <w:abstractNumId w:val="0"/>
  </w:num>
  <w:num w:numId="3" w16cid:durableId="69735382">
    <w:abstractNumId w:val="5"/>
  </w:num>
  <w:num w:numId="4" w16cid:durableId="1678849903">
    <w:abstractNumId w:val="8"/>
  </w:num>
  <w:num w:numId="5" w16cid:durableId="500004085">
    <w:abstractNumId w:val="3"/>
  </w:num>
  <w:num w:numId="6" w16cid:durableId="989673121">
    <w:abstractNumId w:val="9"/>
  </w:num>
  <w:num w:numId="7" w16cid:durableId="535658490">
    <w:abstractNumId w:val="11"/>
  </w:num>
  <w:num w:numId="8" w16cid:durableId="276256157">
    <w:abstractNumId w:val="7"/>
  </w:num>
  <w:num w:numId="9" w16cid:durableId="2044359104">
    <w:abstractNumId w:val="6"/>
  </w:num>
  <w:num w:numId="10" w16cid:durableId="1867018191">
    <w:abstractNumId w:val="4"/>
  </w:num>
  <w:num w:numId="11" w16cid:durableId="1893344992">
    <w:abstractNumId w:val="2"/>
  </w:num>
  <w:num w:numId="12" w16cid:durableId="53419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EA"/>
    <w:rsid w:val="0000411F"/>
    <w:rsid w:val="00006B1B"/>
    <w:rsid w:val="00006CD7"/>
    <w:rsid w:val="000102D7"/>
    <w:rsid w:val="00034829"/>
    <w:rsid w:val="000451AA"/>
    <w:rsid w:val="00063F71"/>
    <w:rsid w:val="0006762B"/>
    <w:rsid w:val="00067795"/>
    <w:rsid w:val="00086EFA"/>
    <w:rsid w:val="000D5D7B"/>
    <w:rsid w:val="000E3C76"/>
    <w:rsid w:val="000E43BE"/>
    <w:rsid w:val="000E6A96"/>
    <w:rsid w:val="000F134D"/>
    <w:rsid w:val="00103AD8"/>
    <w:rsid w:val="001111D5"/>
    <w:rsid w:val="00111E26"/>
    <w:rsid w:val="00131D3E"/>
    <w:rsid w:val="00133893"/>
    <w:rsid w:val="0014709B"/>
    <w:rsid w:val="001508C9"/>
    <w:rsid w:val="00160B0D"/>
    <w:rsid w:val="001702DA"/>
    <w:rsid w:val="001727BB"/>
    <w:rsid w:val="00183E98"/>
    <w:rsid w:val="00195DCD"/>
    <w:rsid w:val="001A0DC7"/>
    <w:rsid w:val="001A3450"/>
    <w:rsid w:val="001B6472"/>
    <w:rsid w:val="001E1423"/>
    <w:rsid w:val="001E17F6"/>
    <w:rsid w:val="00206096"/>
    <w:rsid w:val="00222321"/>
    <w:rsid w:val="00223628"/>
    <w:rsid w:val="00225B00"/>
    <w:rsid w:val="00241E25"/>
    <w:rsid w:val="00243833"/>
    <w:rsid w:val="00251421"/>
    <w:rsid w:val="00255973"/>
    <w:rsid w:val="00266C06"/>
    <w:rsid w:val="00266EF1"/>
    <w:rsid w:val="00277720"/>
    <w:rsid w:val="00280C31"/>
    <w:rsid w:val="0028359C"/>
    <w:rsid w:val="00284541"/>
    <w:rsid w:val="002B10D9"/>
    <w:rsid w:val="002E143E"/>
    <w:rsid w:val="002E3189"/>
    <w:rsid w:val="003041D5"/>
    <w:rsid w:val="00307ED1"/>
    <w:rsid w:val="00310E2D"/>
    <w:rsid w:val="00325B63"/>
    <w:rsid w:val="00326F05"/>
    <w:rsid w:val="00336D8F"/>
    <w:rsid w:val="0034618B"/>
    <w:rsid w:val="0035549F"/>
    <w:rsid w:val="00355642"/>
    <w:rsid w:val="00361096"/>
    <w:rsid w:val="00361936"/>
    <w:rsid w:val="00362A88"/>
    <w:rsid w:val="0036755E"/>
    <w:rsid w:val="00377C84"/>
    <w:rsid w:val="00386B56"/>
    <w:rsid w:val="00391A75"/>
    <w:rsid w:val="003928EA"/>
    <w:rsid w:val="003B0838"/>
    <w:rsid w:val="003B2406"/>
    <w:rsid w:val="003B2CDC"/>
    <w:rsid w:val="003C0474"/>
    <w:rsid w:val="003C5CBE"/>
    <w:rsid w:val="003D0558"/>
    <w:rsid w:val="003E1C9A"/>
    <w:rsid w:val="003E38AD"/>
    <w:rsid w:val="003F1728"/>
    <w:rsid w:val="0041286C"/>
    <w:rsid w:val="004162FD"/>
    <w:rsid w:val="00422F68"/>
    <w:rsid w:val="00425501"/>
    <w:rsid w:val="0043072D"/>
    <w:rsid w:val="0046668E"/>
    <w:rsid w:val="0046793D"/>
    <w:rsid w:val="0049540C"/>
    <w:rsid w:val="00497D95"/>
    <w:rsid w:val="004B59FF"/>
    <w:rsid w:val="004D0417"/>
    <w:rsid w:val="004D44E1"/>
    <w:rsid w:val="004D60A1"/>
    <w:rsid w:val="004E3AE1"/>
    <w:rsid w:val="004E4C45"/>
    <w:rsid w:val="0050189A"/>
    <w:rsid w:val="0052423B"/>
    <w:rsid w:val="0052671D"/>
    <w:rsid w:val="0053762E"/>
    <w:rsid w:val="00541929"/>
    <w:rsid w:val="005426D0"/>
    <w:rsid w:val="00542BBE"/>
    <w:rsid w:val="00547EC0"/>
    <w:rsid w:val="005566BF"/>
    <w:rsid w:val="00557CAB"/>
    <w:rsid w:val="00563D5C"/>
    <w:rsid w:val="00587B45"/>
    <w:rsid w:val="0059684B"/>
    <w:rsid w:val="00596D3D"/>
    <w:rsid w:val="005A1A6B"/>
    <w:rsid w:val="005A262C"/>
    <w:rsid w:val="005B56DA"/>
    <w:rsid w:val="005C28F8"/>
    <w:rsid w:val="005C3FDA"/>
    <w:rsid w:val="005E4D4C"/>
    <w:rsid w:val="00600987"/>
    <w:rsid w:val="00604507"/>
    <w:rsid w:val="00610739"/>
    <w:rsid w:val="006123BE"/>
    <w:rsid w:val="00633236"/>
    <w:rsid w:val="00634F3E"/>
    <w:rsid w:val="006362C3"/>
    <w:rsid w:val="00643626"/>
    <w:rsid w:val="00667294"/>
    <w:rsid w:val="00671870"/>
    <w:rsid w:val="0068017E"/>
    <w:rsid w:val="00681AF7"/>
    <w:rsid w:val="00683A0A"/>
    <w:rsid w:val="00690835"/>
    <w:rsid w:val="0069181B"/>
    <w:rsid w:val="006C3243"/>
    <w:rsid w:val="006D6446"/>
    <w:rsid w:val="006D718B"/>
    <w:rsid w:val="006D747B"/>
    <w:rsid w:val="0071090A"/>
    <w:rsid w:val="00730B68"/>
    <w:rsid w:val="007663CF"/>
    <w:rsid w:val="00781C6E"/>
    <w:rsid w:val="0078390A"/>
    <w:rsid w:val="00795FA7"/>
    <w:rsid w:val="007C6E1C"/>
    <w:rsid w:val="007D3399"/>
    <w:rsid w:val="007D66BE"/>
    <w:rsid w:val="007E2764"/>
    <w:rsid w:val="007E404F"/>
    <w:rsid w:val="007F25CF"/>
    <w:rsid w:val="00803406"/>
    <w:rsid w:val="00815CFF"/>
    <w:rsid w:val="00825DA6"/>
    <w:rsid w:val="00843823"/>
    <w:rsid w:val="008458FD"/>
    <w:rsid w:val="008560C6"/>
    <w:rsid w:val="00860027"/>
    <w:rsid w:val="00863A1C"/>
    <w:rsid w:val="00884E69"/>
    <w:rsid w:val="00886141"/>
    <w:rsid w:val="008A224D"/>
    <w:rsid w:val="008D17AC"/>
    <w:rsid w:val="008D4AB5"/>
    <w:rsid w:val="008E210D"/>
    <w:rsid w:val="008E4A96"/>
    <w:rsid w:val="008F5191"/>
    <w:rsid w:val="00900D38"/>
    <w:rsid w:val="00901650"/>
    <w:rsid w:val="00905BD6"/>
    <w:rsid w:val="00913EFF"/>
    <w:rsid w:val="0091594C"/>
    <w:rsid w:val="00920EE2"/>
    <w:rsid w:val="00940641"/>
    <w:rsid w:val="00943C79"/>
    <w:rsid w:val="009600DA"/>
    <w:rsid w:val="00962504"/>
    <w:rsid w:val="009722F8"/>
    <w:rsid w:val="0097746A"/>
    <w:rsid w:val="00980559"/>
    <w:rsid w:val="00985C8E"/>
    <w:rsid w:val="009A0050"/>
    <w:rsid w:val="009A043C"/>
    <w:rsid w:val="009A1D81"/>
    <w:rsid w:val="009B6F88"/>
    <w:rsid w:val="009C4D57"/>
    <w:rsid w:val="009C5F8A"/>
    <w:rsid w:val="009D0230"/>
    <w:rsid w:val="009E6309"/>
    <w:rsid w:val="009F3521"/>
    <w:rsid w:val="00A238D7"/>
    <w:rsid w:val="00A342E8"/>
    <w:rsid w:val="00A429F4"/>
    <w:rsid w:val="00A453D2"/>
    <w:rsid w:val="00A54434"/>
    <w:rsid w:val="00A55287"/>
    <w:rsid w:val="00A72F0D"/>
    <w:rsid w:val="00A84B16"/>
    <w:rsid w:val="00A938C6"/>
    <w:rsid w:val="00AC1AB8"/>
    <w:rsid w:val="00AC4FD9"/>
    <w:rsid w:val="00AC5B06"/>
    <w:rsid w:val="00AD4D6F"/>
    <w:rsid w:val="00AE3B98"/>
    <w:rsid w:val="00B3377E"/>
    <w:rsid w:val="00B377A7"/>
    <w:rsid w:val="00B61DBB"/>
    <w:rsid w:val="00B635EF"/>
    <w:rsid w:val="00B73279"/>
    <w:rsid w:val="00B82FDA"/>
    <w:rsid w:val="00B91B94"/>
    <w:rsid w:val="00BA4EED"/>
    <w:rsid w:val="00BB5D8F"/>
    <w:rsid w:val="00BB641B"/>
    <w:rsid w:val="00BC5C7E"/>
    <w:rsid w:val="00BD08B4"/>
    <w:rsid w:val="00BE3ABF"/>
    <w:rsid w:val="00BE534D"/>
    <w:rsid w:val="00BF6F44"/>
    <w:rsid w:val="00C027D7"/>
    <w:rsid w:val="00C03D2C"/>
    <w:rsid w:val="00C05BC5"/>
    <w:rsid w:val="00C2432A"/>
    <w:rsid w:val="00C34B2C"/>
    <w:rsid w:val="00C359B7"/>
    <w:rsid w:val="00C37AB3"/>
    <w:rsid w:val="00C57720"/>
    <w:rsid w:val="00C63889"/>
    <w:rsid w:val="00C73736"/>
    <w:rsid w:val="00C76C44"/>
    <w:rsid w:val="00C85574"/>
    <w:rsid w:val="00C905C4"/>
    <w:rsid w:val="00C9330C"/>
    <w:rsid w:val="00CA0104"/>
    <w:rsid w:val="00CA0A7A"/>
    <w:rsid w:val="00CC5F85"/>
    <w:rsid w:val="00CC7389"/>
    <w:rsid w:val="00CC73ED"/>
    <w:rsid w:val="00CE38C8"/>
    <w:rsid w:val="00CF7DBB"/>
    <w:rsid w:val="00D05618"/>
    <w:rsid w:val="00D071F5"/>
    <w:rsid w:val="00D11729"/>
    <w:rsid w:val="00D347A1"/>
    <w:rsid w:val="00D457A1"/>
    <w:rsid w:val="00D47E4F"/>
    <w:rsid w:val="00D55CB2"/>
    <w:rsid w:val="00D60354"/>
    <w:rsid w:val="00D73626"/>
    <w:rsid w:val="00D741B8"/>
    <w:rsid w:val="00D90AC2"/>
    <w:rsid w:val="00DA491D"/>
    <w:rsid w:val="00DB2304"/>
    <w:rsid w:val="00DB6F0A"/>
    <w:rsid w:val="00DC4969"/>
    <w:rsid w:val="00DC73C1"/>
    <w:rsid w:val="00DE4659"/>
    <w:rsid w:val="00DF09D0"/>
    <w:rsid w:val="00DF2E1B"/>
    <w:rsid w:val="00DF597B"/>
    <w:rsid w:val="00E00199"/>
    <w:rsid w:val="00E14118"/>
    <w:rsid w:val="00E22257"/>
    <w:rsid w:val="00E65516"/>
    <w:rsid w:val="00E76B8A"/>
    <w:rsid w:val="00E91011"/>
    <w:rsid w:val="00EC05E8"/>
    <w:rsid w:val="00EC08BB"/>
    <w:rsid w:val="00ED09A0"/>
    <w:rsid w:val="00ED17B4"/>
    <w:rsid w:val="00ED5CAE"/>
    <w:rsid w:val="00EE0916"/>
    <w:rsid w:val="00EF4251"/>
    <w:rsid w:val="00F01696"/>
    <w:rsid w:val="00F10324"/>
    <w:rsid w:val="00F20FB4"/>
    <w:rsid w:val="00F23221"/>
    <w:rsid w:val="00F31095"/>
    <w:rsid w:val="00F41004"/>
    <w:rsid w:val="00F55A75"/>
    <w:rsid w:val="00F709E8"/>
    <w:rsid w:val="00F77838"/>
    <w:rsid w:val="00F81CC0"/>
    <w:rsid w:val="00F8503A"/>
    <w:rsid w:val="00F87187"/>
    <w:rsid w:val="00F92224"/>
    <w:rsid w:val="00F9716C"/>
    <w:rsid w:val="00FA0BD4"/>
    <w:rsid w:val="00FA54FF"/>
    <w:rsid w:val="00FA753B"/>
    <w:rsid w:val="00FB2FC6"/>
    <w:rsid w:val="00FB4A86"/>
    <w:rsid w:val="00FD5E70"/>
    <w:rsid w:val="00FD77CF"/>
    <w:rsid w:val="00FF0B56"/>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ADD7"/>
  <w15:chartTrackingRefBased/>
  <w15:docId w15:val="{0B104654-EED3-4763-9DC7-3EC9C96B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D7"/>
    <w:pPr>
      <w:spacing w:after="120" w:line="288" w:lineRule="auto"/>
    </w:pPr>
    <w:rPr>
      <w:rFonts w:ascii="Arial" w:hAnsi="Arial" w:cs="Arial"/>
    </w:rPr>
  </w:style>
  <w:style w:type="paragraph" w:styleId="Heading1">
    <w:name w:val="heading 1"/>
    <w:basedOn w:val="Normal"/>
    <w:next w:val="Normal"/>
    <w:link w:val="Heading1Char"/>
    <w:uiPriority w:val="9"/>
    <w:qFormat/>
    <w:rsid w:val="005B56DA"/>
    <w:pPr>
      <w:keepNext/>
      <w:keepLines/>
      <w:spacing w:before="360" w:after="240"/>
      <w:jc w:val="center"/>
      <w:outlineLvl w:val="0"/>
    </w:pPr>
    <w:rPr>
      <w:rFonts w:eastAsiaTheme="majorEastAsia" w:cstheme="majorBidi"/>
      <w:color w:val="1295D8"/>
      <w:sz w:val="48"/>
      <w:szCs w:val="40"/>
    </w:rPr>
  </w:style>
  <w:style w:type="paragraph" w:styleId="Heading2">
    <w:name w:val="heading 2"/>
    <w:basedOn w:val="Normal"/>
    <w:next w:val="Normal"/>
    <w:link w:val="Heading2Char"/>
    <w:uiPriority w:val="9"/>
    <w:unhideWhenUsed/>
    <w:qFormat/>
    <w:rsid w:val="00C027D7"/>
    <w:pPr>
      <w:keepNext/>
      <w:keepLines/>
      <w:spacing w:before="360" w:after="0"/>
      <w:outlineLvl w:val="1"/>
    </w:pPr>
    <w:rPr>
      <w:rFonts w:eastAsiaTheme="majorEastAsia" w:cstheme="majorBidi"/>
      <w:color w:val="1295D8"/>
      <w:sz w:val="28"/>
      <w:szCs w:val="32"/>
    </w:rPr>
  </w:style>
  <w:style w:type="paragraph" w:styleId="Heading3">
    <w:name w:val="heading 3"/>
    <w:basedOn w:val="Normal"/>
    <w:next w:val="Normal"/>
    <w:link w:val="Heading3Char"/>
    <w:uiPriority w:val="9"/>
    <w:unhideWhenUsed/>
    <w:qFormat/>
    <w:rsid w:val="00C027D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392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6DA"/>
    <w:rPr>
      <w:rFonts w:ascii="Arial" w:eastAsiaTheme="majorEastAsia" w:hAnsi="Arial" w:cstheme="majorBidi"/>
      <w:color w:val="1295D8"/>
      <w:sz w:val="48"/>
      <w:szCs w:val="40"/>
    </w:rPr>
  </w:style>
  <w:style w:type="character" w:customStyle="1" w:styleId="Heading2Char">
    <w:name w:val="Heading 2 Char"/>
    <w:basedOn w:val="DefaultParagraphFont"/>
    <w:link w:val="Heading2"/>
    <w:uiPriority w:val="9"/>
    <w:rsid w:val="00C027D7"/>
    <w:rPr>
      <w:rFonts w:ascii="Arial" w:eastAsiaTheme="majorEastAsia" w:hAnsi="Arial" w:cstheme="majorBidi"/>
      <w:color w:val="1295D8"/>
      <w:sz w:val="28"/>
      <w:szCs w:val="32"/>
    </w:rPr>
  </w:style>
  <w:style w:type="character" w:customStyle="1" w:styleId="Heading3Char">
    <w:name w:val="Heading 3 Char"/>
    <w:basedOn w:val="DefaultParagraphFont"/>
    <w:link w:val="Heading3"/>
    <w:uiPriority w:val="9"/>
    <w:rsid w:val="00C027D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392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8EA"/>
    <w:rPr>
      <w:rFonts w:eastAsiaTheme="majorEastAsia" w:cstheme="majorBidi"/>
      <w:color w:val="272727" w:themeColor="text1" w:themeTint="D8"/>
    </w:rPr>
  </w:style>
  <w:style w:type="paragraph" w:styleId="Title">
    <w:name w:val="Title"/>
    <w:basedOn w:val="Heading1"/>
    <w:next w:val="Normal"/>
    <w:link w:val="TitleChar"/>
    <w:uiPriority w:val="10"/>
    <w:qFormat/>
    <w:rsid w:val="007F25CF"/>
  </w:style>
  <w:style w:type="character" w:customStyle="1" w:styleId="TitleChar">
    <w:name w:val="Title Char"/>
    <w:basedOn w:val="DefaultParagraphFont"/>
    <w:link w:val="Title"/>
    <w:uiPriority w:val="10"/>
    <w:rsid w:val="007F25CF"/>
    <w:rPr>
      <w:rFonts w:ascii="Arial" w:eastAsiaTheme="majorEastAsia" w:hAnsi="Arial" w:cstheme="majorBidi"/>
      <w:color w:val="1295D8"/>
      <w:sz w:val="48"/>
      <w:szCs w:val="40"/>
    </w:rPr>
  </w:style>
  <w:style w:type="paragraph" w:styleId="Subtitle">
    <w:name w:val="Subtitle"/>
    <w:basedOn w:val="Normal"/>
    <w:next w:val="Normal"/>
    <w:link w:val="SubtitleChar"/>
    <w:uiPriority w:val="11"/>
    <w:qFormat/>
    <w:rsid w:val="00392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8EA"/>
    <w:pPr>
      <w:spacing w:before="160"/>
      <w:jc w:val="center"/>
    </w:pPr>
    <w:rPr>
      <w:i/>
      <w:iCs/>
      <w:color w:val="404040" w:themeColor="text1" w:themeTint="BF"/>
    </w:rPr>
  </w:style>
  <w:style w:type="character" w:customStyle="1" w:styleId="QuoteChar">
    <w:name w:val="Quote Char"/>
    <w:basedOn w:val="DefaultParagraphFont"/>
    <w:link w:val="Quote"/>
    <w:uiPriority w:val="29"/>
    <w:rsid w:val="003928EA"/>
    <w:rPr>
      <w:i/>
      <w:iCs/>
      <w:color w:val="404040" w:themeColor="text1" w:themeTint="BF"/>
    </w:rPr>
  </w:style>
  <w:style w:type="paragraph" w:styleId="ListParagraph">
    <w:name w:val="List Paragraph"/>
    <w:basedOn w:val="Normal"/>
    <w:uiPriority w:val="34"/>
    <w:qFormat/>
    <w:rsid w:val="00C027D7"/>
    <w:pPr>
      <w:spacing w:before="120" w:line="240" w:lineRule="auto"/>
      <w:ind w:left="720"/>
    </w:pPr>
  </w:style>
  <w:style w:type="character" w:styleId="IntenseEmphasis">
    <w:name w:val="Intense Emphasis"/>
    <w:basedOn w:val="DefaultParagraphFont"/>
    <w:uiPriority w:val="21"/>
    <w:qFormat/>
    <w:rsid w:val="003928EA"/>
    <w:rPr>
      <w:i/>
      <w:iCs/>
      <w:color w:val="0F4761" w:themeColor="accent1" w:themeShade="BF"/>
    </w:rPr>
  </w:style>
  <w:style w:type="paragraph" w:styleId="IntenseQuote">
    <w:name w:val="Intense Quote"/>
    <w:basedOn w:val="Normal"/>
    <w:next w:val="Normal"/>
    <w:link w:val="IntenseQuoteChar"/>
    <w:uiPriority w:val="30"/>
    <w:qFormat/>
    <w:rsid w:val="00392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8EA"/>
    <w:rPr>
      <w:i/>
      <w:iCs/>
      <w:color w:val="0F4761" w:themeColor="accent1" w:themeShade="BF"/>
    </w:rPr>
  </w:style>
  <w:style w:type="character" w:styleId="IntenseReference">
    <w:name w:val="Intense Reference"/>
    <w:basedOn w:val="DefaultParagraphFont"/>
    <w:uiPriority w:val="32"/>
    <w:qFormat/>
    <w:rsid w:val="003928EA"/>
    <w:rPr>
      <w:b/>
      <w:bCs/>
      <w:smallCaps/>
      <w:color w:val="0F4761" w:themeColor="accent1" w:themeShade="BF"/>
      <w:spacing w:val="5"/>
    </w:rPr>
  </w:style>
  <w:style w:type="table" w:styleId="TableGrid">
    <w:name w:val="Table Grid"/>
    <w:basedOn w:val="TableNormal"/>
    <w:uiPriority w:val="39"/>
    <w:rsid w:val="0049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44"/>
  </w:style>
  <w:style w:type="paragraph" w:styleId="Footer">
    <w:name w:val="footer"/>
    <w:basedOn w:val="Normal"/>
    <w:link w:val="FooterChar"/>
    <w:uiPriority w:val="99"/>
    <w:unhideWhenUsed/>
    <w:rsid w:val="00BF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44"/>
  </w:style>
  <w:style w:type="paragraph" w:styleId="Revision">
    <w:name w:val="Revision"/>
    <w:hidden/>
    <w:uiPriority w:val="99"/>
    <w:semiHidden/>
    <w:rsid w:val="00AC4FD9"/>
    <w:pPr>
      <w:spacing w:after="0" w:line="240" w:lineRule="auto"/>
    </w:pPr>
  </w:style>
  <w:style w:type="character" w:styleId="CommentReference">
    <w:name w:val="annotation reference"/>
    <w:basedOn w:val="DefaultParagraphFont"/>
    <w:uiPriority w:val="99"/>
    <w:semiHidden/>
    <w:unhideWhenUsed/>
    <w:rsid w:val="00A429F4"/>
    <w:rPr>
      <w:sz w:val="16"/>
      <w:szCs w:val="16"/>
    </w:rPr>
  </w:style>
  <w:style w:type="paragraph" w:styleId="CommentText">
    <w:name w:val="annotation text"/>
    <w:basedOn w:val="Normal"/>
    <w:link w:val="CommentTextChar"/>
    <w:uiPriority w:val="99"/>
    <w:unhideWhenUsed/>
    <w:rsid w:val="00A429F4"/>
    <w:pPr>
      <w:spacing w:line="240" w:lineRule="auto"/>
    </w:pPr>
    <w:rPr>
      <w:sz w:val="20"/>
      <w:szCs w:val="20"/>
    </w:rPr>
  </w:style>
  <w:style w:type="character" w:customStyle="1" w:styleId="CommentTextChar">
    <w:name w:val="Comment Text Char"/>
    <w:basedOn w:val="DefaultParagraphFont"/>
    <w:link w:val="CommentText"/>
    <w:uiPriority w:val="99"/>
    <w:rsid w:val="00A429F4"/>
    <w:rPr>
      <w:sz w:val="20"/>
      <w:szCs w:val="20"/>
    </w:rPr>
  </w:style>
  <w:style w:type="paragraph" w:styleId="CommentSubject">
    <w:name w:val="annotation subject"/>
    <w:basedOn w:val="CommentText"/>
    <w:next w:val="CommentText"/>
    <w:link w:val="CommentSubjectChar"/>
    <w:uiPriority w:val="99"/>
    <w:semiHidden/>
    <w:unhideWhenUsed/>
    <w:rsid w:val="00A429F4"/>
    <w:rPr>
      <w:b/>
      <w:bCs/>
    </w:rPr>
  </w:style>
  <w:style w:type="character" w:customStyle="1" w:styleId="CommentSubjectChar">
    <w:name w:val="Comment Subject Char"/>
    <w:basedOn w:val="CommentTextChar"/>
    <w:link w:val="CommentSubject"/>
    <w:uiPriority w:val="99"/>
    <w:semiHidden/>
    <w:rsid w:val="00A429F4"/>
    <w:rPr>
      <w:b/>
      <w:bCs/>
      <w:sz w:val="20"/>
      <w:szCs w:val="20"/>
    </w:rPr>
  </w:style>
  <w:style w:type="paragraph" w:styleId="FootnoteText">
    <w:name w:val="footnote text"/>
    <w:basedOn w:val="Normal"/>
    <w:link w:val="FootnoteTextChar"/>
    <w:uiPriority w:val="99"/>
    <w:semiHidden/>
    <w:unhideWhenUsed/>
    <w:rsid w:val="00D34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7A1"/>
    <w:rPr>
      <w:sz w:val="20"/>
      <w:szCs w:val="20"/>
    </w:rPr>
  </w:style>
  <w:style w:type="character" w:styleId="FootnoteReference">
    <w:name w:val="footnote reference"/>
    <w:basedOn w:val="DefaultParagraphFont"/>
    <w:uiPriority w:val="99"/>
    <w:semiHidden/>
    <w:unhideWhenUsed/>
    <w:rsid w:val="00D347A1"/>
    <w:rPr>
      <w:vertAlign w:val="superscript"/>
    </w:rPr>
  </w:style>
  <w:style w:type="paragraph" w:styleId="TOCHeading">
    <w:name w:val="TOC Heading"/>
    <w:basedOn w:val="Heading1"/>
    <w:next w:val="Normal"/>
    <w:uiPriority w:val="39"/>
    <w:unhideWhenUsed/>
    <w:qFormat/>
    <w:rsid w:val="00361936"/>
    <w:pPr>
      <w:spacing w:before="480" w:after="0" w:line="276" w:lineRule="auto"/>
      <w:jc w:val="left"/>
      <w:outlineLvl w:val="9"/>
    </w:pPr>
    <w:rPr>
      <w:b/>
      <w:bCs/>
      <w:kern w:val="0"/>
      <w:sz w:val="32"/>
      <w:szCs w:val="28"/>
      <w14:ligatures w14:val="none"/>
    </w:rPr>
  </w:style>
  <w:style w:type="paragraph" w:styleId="TOC2">
    <w:name w:val="toc 2"/>
    <w:basedOn w:val="Normal"/>
    <w:next w:val="Normal"/>
    <w:autoRedefine/>
    <w:uiPriority w:val="39"/>
    <w:unhideWhenUsed/>
    <w:rsid w:val="00DF09D0"/>
    <w:pPr>
      <w:spacing w:before="120" w:after="0"/>
      <w:ind w:left="216"/>
    </w:pPr>
    <w:rPr>
      <w:bCs/>
    </w:rPr>
  </w:style>
  <w:style w:type="paragraph" w:styleId="TOC1">
    <w:name w:val="toc 1"/>
    <w:basedOn w:val="Normal"/>
    <w:next w:val="Normal"/>
    <w:autoRedefine/>
    <w:uiPriority w:val="39"/>
    <w:unhideWhenUsed/>
    <w:rsid w:val="007D66BE"/>
    <w:pPr>
      <w:spacing w:before="120" w:after="0"/>
    </w:pPr>
    <w:rPr>
      <w:b/>
      <w:bCs/>
      <w:iCs/>
      <w:sz w:val="24"/>
      <w:szCs w:val="24"/>
    </w:rPr>
  </w:style>
  <w:style w:type="paragraph" w:styleId="TOC3">
    <w:name w:val="toc 3"/>
    <w:basedOn w:val="Normal"/>
    <w:next w:val="Normal"/>
    <w:autoRedefine/>
    <w:uiPriority w:val="39"/>
    <w:unhideWhenUsed/>
    <w:rsid w:val="00386B56"/>
    <w:pPr>
      <w:tabs>
        <w:tab w:val="right" w:leader="dot" w:pos="9350"/>
      </w:tabs>
      <w:spacing w:after="0"/>
      <w:ind w:left="440"/>
    </w:pPr>
    <w:rPr>
      <w:sz w:val="20"/>
      <w:szCs w:val="20"/>
    </w:rPr>
  </w:style>
  <w:style w:type="paragraph" w:styleId="TOC4">
    <w:name w:val="toc 4"/>
    <w:basedOn w:val="Normal"/>
    <w:next w:val="Normal"/>
    <w:autoRedefine/>
    <w:uiPriority w:val="39"/>
    <w:semiHidden/>
    <w:unhideWhenUsed/>
    <w:rsid w:val="00361936"/>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61936"/>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61936"/>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61936"/>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61936"/>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61936"/>
    <w:pPr>
      <w:spacing w:after="0"/>
      <w:ind w:left="1760"/>
    </w:pPr>
    <w:rPr>
      <w:rFonts w:asciiTheme="minorHAnsi" w:hAnsiTheme="minorHAnsi"/>
      <w:sz w:val="20"/>
      <w:szCs w:val="20"/>
    </w:rPr>
  </w:style>
  <w:style w:type="character" w:styleId="Hyperlink">
    <w:name w:val="Hyperlink"/>
    <w:basedOn w:val="DefaultParagraphFont"/>
    <w:uiPriority w:val="99"/>
    <w:unhideWhenUsed/>
    <w:rsid w:val="00361936"/>
    <w:rPr>
      <w:color w:val="467886" w:themeColor="hyperlink"/>
      <w:u w:val="single"/>
    </w:rPr>
  </w:style>
  <w:style w:type="character" w:styleId="PageNumber">
    <w:name w:val="page number"/>
    <w:basedOn w:val="DefaultParagraphFont"/>
    <w:uiPriority w:val="99"/>
    <w:semiHidden/>
    <w:unhideWhenUsed/>
    <w:rsid w:val="00C6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7211">
      <w:bodyDiv w:val="1"/>
      <w:marLeft w:val="0"/>
      <w:marRight w:val="0"/>
      <w:marTop w:val="0"/>
      <w:marBottom w:val="0"/>
      <w:divBdr>
        <w:top w:val="none" w:sz="0" w:space="0" w:color="auto"/>
        <w:left w:val="none" w:sz="0" w:space="0" w:color="auto"/>
        <w:bottom w:val="none" w:sz="0" w:space="0" w:color="auto"/>
        <w:right w:val="none" w:sz="0" w:space="0" w:color="auto"/>
      </w:divBdr>
    </w:div>
    <w:div w:id="449934923">
      <w:bodyDiv w:val="1"/>
      <w:marLeft w:val="0"/>
      <w:marRight w:val="0"/>
      <w:marTop w:val="0"/>
      <w:marBottom w:val="0"/>
      <w:divBdr>
        <w:top w:val="none" w:sz="0" w:space="0" w:color="auto"/>
        <w:left w:val="none" w:sz="0" w:space="0" w:color="auto"/>
        <w:bottom w:val="none" w:sz="0" w:space="0" w:color="auto"/>
        <w:right w:val="none" w:sz="0" w:space="0" w:color="auto"/>
      </w:divBdr>
    </w:div>
    <w:div w:id="890074854">
      <w:bodyDiv w:val="1"/>
      <w:marLeft w:val="0"/>
      <w:marRight w:val="0"/>
      <w:marTop w:val="0"/>
      <w:marBottom w:val="0"/>
      <w:divBdr>
        <w:top w:val="none" w:sz="0" w:space="0" w:color="auto"/>
        <w:left w:val="none" w:sz="0" w:space="0" w:color="auto"/>
        <w:bottom w:val="none" w:sz="0" w:space="0" w:color="auto"/>
        <w:right w:val="none" w:sz="0" w:space="0" w:color="auto"/>
      </w:divBdr>
    </w:div>
    <w:div w:id="1475099029">
      <w:bodyDiv w:val="1"/>
      <w:marLeft w:val="0"/>
      <w:marRight w:val="0"/>
      <w:marTop w:val="0"/>
      <w:marBottom w:val="0"/>
      <w:divBdr>
        <w:top w:val="none" w:sz="0" w:space="0" w:color="auto"/>
        <w:left w:val="none" w:sz="0" w:space="0" w:color="auto"/>
        <w:bottom w:val="none" w:sz="0" w:space="0" w:color="auto"/>
        <w:right w:val="none" w:sz="0" w:space="0" w:color="auto"/>
      </w:divBdr>
    </w:div>
    <w:div w:id="2005040951">
      <w:bodyDiv w:val="1"/>
      <w:marLeft w:val="0"/>
      <w:marRight w:val="0"/>
      <w:marTop w:val="0"/>
      <w:marBottom w:val="0"/>
      <w:divBdr>
        <w:top w:val="none" w:sz="0" w:space="0" w:color="auto"/>
        <w:left w:val="none" w:sz="0" w:space="0" w:color="auto"/>
        <w:bottom w:val="none" w:sz="0" w:space="0" w:color="auto"/>
        <w:right w:val="none" w:sz="0" w:space="0" w:color="auto"/>
      </w:divBdr>
    </w:div>
    <w:div w:id="20996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AB1A-4672-4C1E-BC27-453266FB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MAQ Management Plan </vt:lpstr>
    </vt:vector>
  </TitlesOfParts>
  <Manager/>
  <Company/>
  <LinksUpToDate>false</LinksUpToDate>
  <CharactersWithSpaces>20069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 Management Plan </dc:title>
  <dc:subject/>
  <dc:creator>University of California</dc:creator>
  <cp:keywords/>
  <dc:description/>
  <cp:lastModifiedBy>mhall45@gmail.com</cp:lastModifiedBy>
  <cp:revision>3</cp:revision>
  <dcterms:created xsi:type="dcterms:W3CDTF">2025-02-11T22:13:00Z</dcterms:created>
  <dcterms:modified xsi:type="dcterms:W3CDTF">2025-02-11T22:28:00Z</dcterms:modified>
  <cp:category/>
</cp:coreProperties>
</file>