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EC0DB" w14:textId="4B366ED5" w:rsidR="000B1AC2" w:rsidRPr="004C45C2" w:rsidRDefault="00952181" w:rsidP="004C45C2">
      <w:pPr>
        <w:pStyle w:val="Title"/>
        <w:spacing w:line="360" w:lineRule="auto"/>
        <w:jc w:val="center"/>
        <w:rPr>
          <w:rFonts w:ascii="Arial" w:hAnsi="Arial" w:cs="Arial"/>
          <w:b/>
          <w:bCs/>
          <w:sz w:val="36"/>
          <w:szCs w:val="36"/>
          <w:u w:val="single"/>
        </w:rPr>
      </w:pPr>
      <w:r w:rsidRPr="004C45C2">
        <w:rPr>
          <w:rFonts w:ascii="Arial" w:hAnsi="Arial" w:cs="Arial"/>
          <w:b/>
          <w:bCs/>
          <w:sz w:val="36"/>
          <w:szCs w:val="36"/>
          <w:u w:val="single"/>
        </w:rPr>
        <w:t>Modifications to Contracts for</w:t>
      </w:r>
      <w:r w:rsidR="00051BBF" w:rsidRPr="004C45C2">
        <w:rPr>
          <w:rFonts w:ascii="Arial" w:hAnsi="Arial" w:cs="Arial"/>
          <w:b/>
          <w:bCs/>
          <w:sz w:val="36"/>
          <w:szCs w:val="36"/>
          <w:u w:val="single"/>
        </w:rPr>
        <w:t xml:space="preserve"> </w:t>
      </w:r>
      <w:r w:rsidR="00543C0B" w:rsidRPr="004C45C2">
        <w:rPr>
          <w:rFonts w:ascii="Arial" w:hAnsi="Arial" w:cs="Arial"/>
          <w:b/>
          <w:bCs/>
          <w:sz w:val="36"/>
          <w:szCs w:val="36"/>
          <w:u w:val="single"/>
        </w:rPr>
        <w:t>IRA/</w:t>
      </w:r>
      <w:r w:rsidR="00BD1F63" w:rsidRPr="004C45C2">
        <w:rPr>
          <w:rFonts w:ascii="Arial" w:hAnsi="Arial" w:cs="Arial"/>
          <w:b/>
          <w:bCs/>
          <w:sz w:val="36"/>
          <w:szCs w:val="36"/>
          <w:u w:val="single"/>
        </w:rPr>
        <w:t>179D Funding</w:t>
      </w:r>
    </w:p>
    <w:p w14:paraId="6AC978A8" w14:textId="443C125C" w:rsidR="001214DC" w:rsidRPr="00A16C30" w:rsidRDefault="00051BBF">
      <w:pPr>
        <w:rPr>
          <w:color w:val="365F91" w:themeColor="accent1" w:themeShade="BF"/>
          <w:sz w:val="20"/>
          <w:szCs w:val="20"/>
        </w:rPr>
      </w:pPr>
      <w:r w:rsidRPr="00051BBF">
        <w:rPr>
          <w:color w:val="365F91" w:themeColor="accent1" w:themeShade="BF"/>
          <w:sz w:val="20"/>
          <w:szCs w:val="20"/>
        </w:rPr>
        <w:t xml:space="preserve">The following additions/modifications shall be made to Contract/Bidding Documents, as listed below, when </w:t>
      </w:r>
      <w:r w:rsidR="00BD1F63">
        <w:rPr>
          <w:color w:val="365F91" w:themeColor="accent1" w:themeShade="BF"/>
          <w:sz w:val="20"/>
          <w:szCs w:val="20"/>
        </w:rPr>
        <w:t xml:space="preserve">pursuing </w:t>
      </w:r>
      <w:r w:rsidR="009C0EFE">
        <w:rPr>
          <w:color w:val="365F91" w:themeColor="accent1" w:themeShade="BF"/>
          <w:sz w:val="20"/>
          <w:szCs w:val="20"/>
        </w:rPr>
        <w:t xml:space="preserve">the </w:t>
      </w:r>
      <w:r w:rsidR="005B6D55">
        <w:rPr>
          <w:color w:val="365F91" w:themeColor="accent1" w:themeShade="BF"/>
          <w:sz w:val="20"/>
          <w:szCs w:val="20"/>
        </w:rPr>
        <w:t xml:space="preserve">Inflation Reduction Act or </w:t>
      </w:r>
      <w:r w:rsidR="00BD1F63">
        <w:rPr>
          <w:color w:val="365F91" w:themeColor="accent1" w:themeShade="BF"/>
          <w:sz w:val="20"/>
          <w:szCs w:val="20"/>
        </w:rPr>
        <w:t>179D tax credit funding</w:t>
      </w:r>
      <w:r w:rsidRPr="00051BBF">
        <w:rPr>
          <w:color w:val="365F91" w:themeColor="accent1" w:themeShade="BF"/>
          <w:sz w:val="20"/>
          <w:szCs w:val="20"/>
        </w:rPr>
        <w:t xml:space="preserve">. </w:t>
      </w:r>
    </w:p>
    <w:p w14:paraId="4E26C2D6" w14:textId="4F993B59" w:rsidR="006F1E79" w:rsidRDefault="00051BBF">
      <w:pPr>
        <w:rPr>
          <w:color w:val="365F91" w:themeColor="accent1" w:themeShade="BF"/>
          <w:sz w:val="20"/>
          <w:szCs w:val="20"/>
        </w:rPr>
      </w:pPr>
      <w:r w:rsidRPr="00051BBF">
        <w:rPr>
          <w:color w:val="365F91" w:themeColor="accent1" w:themeShade="BF"/>
          <w:sz w:val="20"/>
          <w:szCs w:val="20"/>
        </w:rPr>
        <w:t xml:space="preserve">No modifications, other than </w:t>
      </w:r>
      <w:r w:rsidR="009C0EFE">
        <w:rPr>
          <w:color w:val="365F91" w:themeColor="accent1" w:themeShade="BF"/>
          <w:sz w:val="20"/>
          <w:szCs w:val="20"/>
        </w:rPr>
        <w:t xml:space="preserve">those </w:t>
      </w:r>
      <w:r w:rsidRPr="00051BBF">
        <w:rPr>
          <w:color w:val="365F91" w:themeColor="accent1" w:themeShade="BF"/>
          <w:sz w:val="20"/>
          <w:szCs w:val="20"/>
        </w:rPr>
        <w:t xml:space="preserve">listed in this document, shall be made without prior authorization from the Office of the President. </w:t>
      </w:r>
    </w:p>
    <w:p w14:paraId="4972C0A4" w14:textId="11D25D5E" w:rsidR="00154F67" w:rsidRDefault="00154F67">
      <w:pPr>
        <w:rPr>
          <w:color w:val="365F91" w:themeColor="accent1" w:themeShade="BF"/>
          <w:sz w:val="20"/>
          <w:szCs w:val="20"/>
        </w:rPr>
      </w:pPr>
      <w:r>
        <w:rPr>
          <w:color w:val="365F91" w:themeColor="accent1" w:themeShade="BF"/>
          <w:sz w:val="20"/>
          <w:szCs w:val="20"/>
        </w:rPr>
        <w:t xml:space="preserve">The numbering of the contracts varies, so where </w:t>
      </w:r>
      <w:r w:rsidRPr="00154F67">
        <w:rPr>
          <w:color w:val="365F91" w:themeColor="accent1" w:themeShade="BF"/>
          <w:sz w:val="20"/>
          <w:szCs w:val="20"/>
          <w:highlight w:val="yellow"/>
        </w:rPr>
        <w:t>highlighted</w:t>
      </w:r>
      <w:r>
        <w:rPr>
          <w:color w:val="365F91" w:themeColor="accent1" w:themeShade="BF"/>
          <w:sz w:val="20"/>
          <w:szCs w:val="20"/>
        </w:rPr>
        <w:t>, confirm numbering based on the contract used.</w:t>
      </w:r>
    </w:p>
    <w:p w14:paraId="3D293DEF" w14:textId="7120AA3D" w:rsidR="005B6D55" w:rsidRDefault="005B6D55">
      <w:pPr>
        <w:rPr>
          <w:color w:val="365F91" w:themeColor="accent1" w:themeShade="BF"/>
          <w:sz w:val="20"/>
          <w:szCs w:val="20"/>
        </w:rPr>
      </w:pPr>
      <w:r>
        <w:rPr>
          <w:color w:val="365F91" w:themeColor="accent1" w:themeShade="BF"/>
          <w:sz w:val="20"/>
          <w:szCs w:val="20"/>
        </w:rPr>
        <w:t xml:space="preserve">NOTE: for the sake of example, we have used the Design-Build contract and refer to the contractor as “Design-Builder”. Please update all highlighted terms for </w:t>
      </w:r>
      <w:r w:rsidR="009C0EFE">
        <w:rPr>
          <w:color w:val="365F91" w:themeColor="accent1" w:themeShade="BF"/>
          <w:sz w:val="20"/>
          <w:szCs w:val="20"/>
        </w:rPr>
        <w:t xml:space="preserve">the delivery method of a </w:t>
      </w:r>
      <w:r>
        <w:rPr>
          <w:color w:val="365F91" w:themeColor="accent1" w:themeShade="BF"/>
          <w:sz w:val="20"/>
          <w:szCs w:val="20"/>
        </w:rPr>
        <w:t xml:space="preserve">specific project. </w:t>
      </w:r>
    </w:p>
    <w:p w14:paraId="400D64AF" w14:textId="110098AC" w:rsidR="00940861" w:rsidRPr="004C45C2" w:rsidRDefault="00940861" w:rsidP="004C45C2">
      <w:pPr>
        <w:pStyle w:val="Heading1"/>
        <w:spacing w:line="360" w:lineRule="auto"/>
        <w:rPr>
          <w:sz w:val="32"/>
          <w:szCs w:val="32"/>
        </w:rPr>
      </w:pPr>
      <w:r w:rsidRPr="004C45C2">
        <w:rPr>
          <w:sz w:val="32"/>
          <w:szCs w:val="32"/>
        </w:rPr>
        <w:t xml:space="preserve">Advertisement for </w:t>
      </w:r>
      <w:r w:rsidR="00BD1F63" w:rsidRPr="004C45C2">
        <w:rPr>
          <w:sz w:val="32"/>
          <w:szCs w:val="32"/>
        </w:rPr>
        <w:t>Prequalification</w:t>
      </w:r>
    </w:p>
    <w:p w14:paraId="5CDC585A" w14:textId="44869CB3" w:rsidR="00F26222" w:rsidRDefault="00051BBF" w:rsidP="00E62E49">
      <w:pPr>
        <w:overflowPunct w:val="0"/>
        <w:autoSpaceDE w:val="0"/>
        <w:autoSpaceDN w:val="0"/>
        <w:adjustRightInd w:val="0"/>
        <w:textAlignment w:val="baseline"/>
        <w:rPr>
          <w:rFonts w:cs="Arial"/>
          <w:i/>
          <w:color w:val="1F497D" w:themeColor="text2"/>
          <w:sz w:val="20"/>
          <w:szCs w:val="20"/>
        </w:rPr>
      </w:pPr>
      <w:r w:rsidRPr="00D457F6">
        <w:rPr>
          <w:i/>
          <w:color w:val="1F497D" w:themeColor="text2"/>
          <w:sz w:val="20"/>
          <w:szCs w:val="20"/>
        </w:rPr>
        <w:t xml:space="preserve">For the </w:t>
      </w:r>
      <w:r w:rsidRPr="00D457F6">
        <w:rPr>
          <w:b/>
          <w:i/>
          <w:color w:val="1F497D" w:themeColor="text2"/>
          <w:sz w:val="20"/>
          <w:szCs w:val="20"/>
        </w:rPr>
        <w:t>CM at Risk</w:t>
      </w:r>
      <w:r w:rsidRPr="00D457F6">
        <w:rPr>
          <w:i/>
          <w:color w:val="1F497D" w:themeColor="text2"/>
          <w:sz w:val="20"/>
          <w:szCs w:val="20"/>
        </w:rPr>
        <w:t xml:space="preserve">, </w:t>
      </w:r>
      <w:r w:rsidR="00E62E49">
        <w:rPr>
          <w:b/>
          <w:bCs/>
          <w:i/>
          <w:color w:val="1F497D" w:themeColor="text2"/>
          <w:sz w:val="20"/>
          <w:szCs w:val="20"/>
        </w:rPr>
        <w:t xml:space="preserve">Design Build, Brief Design Build </w:t>
      </w:r>
      <w:r w:rsidR="00D457F6" w:rsidRPr="00D457F6">
        <w:rPr>
          <w:i/>
          <w:color w:val="1F497D" w:themeColor="text2"/>
          <w:sz w:val="20"/>
          <w:szCs w:val="20"/>
        </w:rPr>
        <w:t xml:space="preserve">and </w:t>
      </w:r>
      <w:r w:rsidR="00E62E49">
        <w:rPr>
          <w:b/>
          <w:i/>
          <w:color w:val="1F497D" w:themeColor="text2"/>
          <w:sz w:val="20"/>
          <w:szCs w:val="20"/>
        </w:rPr>
        <w:t>Energy Savings Brief Design Build</w:t>
      </w:r>
      <w:r w:rsidRPr="00D457F6">
        <w:rPr>
          <w:i/>
          <w:color w:val="1F497D" w:themeColor="text2"/>
          <w:sz w:val="20"/>
          <w:szCs w:val="20"/>
        </w:rPr>
        <w:t xml:space="preserve"> delivery methods, the following shall be added to the Advertisement for </w:t>
      </w:r>
      <w:r w:rsidR="00E62E49">
        <w:rPr>
          <w:i/>
          <w:color w:val="1F497D" w:themeColor="text2"/>
          <w:sz w:val="20"/>
          <w:szCs w:val="20"/>
        </w:rPr>
        <w:t>Prequalification</w:t>
      </w:r>
      <w:r w:rsidRPr="00D457F6">
        <w:rPr>
          <w:i/>
          <w:color w:val="1F497D" w:themeColor="text2"/>
          <w:sz w:val="20"/>
          <w:szCs w:val="20"/>
        </w:rPr>
        <w:t xml:space="preserve"> </w:t>
      </w:r>
      <w:r w:rsidR="00E62E49">
        <w:rPr>
          <w:i/>
          <w:color w:val="1F497D" w:themeColor="text2"/>
          <w:sz w:val="20"/>
          <w:szCs w:val="20"/>
        </w:rPr>
        <w:t xml:space="preserve">after </w:t>
      </w:r>
      <w:r w:rsidR="003C09DF">
        <w:rPr>
          <w:i/>
          <w:color w:val="1F497D" w:themeColor="text2"/>
          <w:sz w:val="20"/>
          <w:szCs w:val="20"/>
        </w:rPr>
        <w:t>“</w:t>
      </w:r>
      <w:r w:rsidR="00E62E49" w:rsidRPr="000968B0">
        <w:rPr>
          <w:rFonts w:cs="Arial"/>
          <w:i/>
          <w:color w:val="1F497D" w:themeColor="text2"/>
          <w:sz w:val="20"/>
          <w:szCs w:val="20"/>
        </w:rPr>
        <w:t xml:space="preserve">This project is subject to compliance monitoring and enforcement by the Department of Industrial </w:t>
      </w:r>
      <w:proofErr w:type="gramStart"/>
      <w:r w:rsidR="00E62E49" w:rsidRPr="000968B0">
        <w:rPr>
          <w:rFonts w:cs="Arial"/>
          <w:i/>
          <w:color w:val="1F497D" w:themeColor="text2"/>
          <w:sz w:val="20"/>
          <w:szCs w:val="20"/>
        </w:rPr>
        <w:t>Relations</w:t>
      </w:r>
      <w:proofErr w:type="gramEnd"/>
      <w:r w:rsidR="003C09DF">
        <w:rPr>
          <w:rFonts w:cs="Arial"/>
          <w:i/>
          <w:color w:val="1F497D" w:themeColor="text2"/>
          <w:sz w:val="20"/>
          <w:szCs w:val="20"/>
        </w:rPr>
        <w:t>”</w:t>
      </w:r>
    </w:p>
    <w:p w14:paraId="77DC4AE8" w14:textId="3E8886E7" w:rsidR="005F75A5" w:rsidRPr="004C45C2" w:rsidRDefault="00C57732" w:rsidP="004C45C2">
      <w:pPr>
        <w:overflowPunct w:val="0"/>
        <w:autoSpaceDE w:val="0"/>
        <w:autoSpaceDN w:val="0"/>
        <w:adjustRightInd w:val="0"/>
        <w:textAlignment w:val="baseline"/>
        <w:rPr>
          <w:rFonts w:cs="Arial"/>
          <w:iCs/>
          <w:sz w:val="20"/>
          <w:szCs w:val="20"/>
        </w:rPr>
      </w:pPr>
      <w:r w:rsidRPr="00154F67">
        <w:rPr>
          <w:rFonts w:cs="Arial"/>
          <w:iCs/>
          <w:sz w:val="20"/>
          <w:szCs w:val="20"/>
        </w:rPr>
        <w:t>, and because funding under the Infrastructure Reduction Act is sought, this project is subject to requirements as set forth in Federal USC 45(b)(8)</w:t>
      </w:r>
      <w:r w:rsidR="009C0EFE">
        <w:rPr>
          <w:rFonts w:cs="Arial"/>
          <w:iCs/>
          <w:sz w:val="20"/>
          <w:szCs w:val="20"/>
        </w:rPr>
        <w:t>,</w:t>
      </w:r>
      <w:r w:rsidRPr="00154F67">
        <w:rPr>
          <w:rFonts w:cs="Arial"/>
          <w:iCs/>
          <w:sz w:val="20"/>
          <w:szCs w:val="20"/>
        </w:rPr>
        <w:t xml:space="preserve"> which include prevailing wage, reporting, and apprenticeship requirements enforced by the US Department of Labor. </w:t>
      </w:r>
      <w:r w:rsidR="004C45C2">
        <w:rPr>
          <w:rFonts w:cs="Arial"/>
          <w:iCs/>
          <w:sz w:val="20"/>
          <w:szCs w:val="20"/>
        </w:rPr>
        <w:br/>
      </w:r>
    </w:p>
    <w:p w14:paraId="593299E6" w14:textId="617A2EAF" w:rsidR="005F75A5" w:rsidRPr="004C45C2" w:rsidRDefault="005F75A5" w:rsidP="004C45C2">
      <w:pPr>
        <w:pStyle w:val="Heading1"/>
        <w:spacing w:line="360" w:lineRule="auto"/>
        <w:rPr>
          <w:szCs w:val="28"/>
        </w:rPr>
      </w:pPr>
      <w:r w:rsidRPr="004C45C2">
        <w:rPr>
          <w:szCs w:val="28"/>
        </w:rPr>
        <w:t>Advertisement for Bids</w:t>
      </w:r>
    </w:p>
    <w:p w14:paraId="6356CF4D" w14:textId="7B3650EC" w:rsidR="005B6D55" w:rsidRDefault="005F75A5" w:rsidP="001763C4">
      <w:pPr>
        <w:overflowPunct w:val="0"/>
        <w:autoSpaceDE w:val="0"/>
        <w:autoSpaceDN w:val="0"/>
        <w:adjustRightInd w:val="0"/>
        <w:textAlignment w:val="baseline"/>
        <w:rPr>
          <w:rFonts w:cs="Arial"/>
        </w:rPr>
      </w:pPr>
      <w:r w:rsidRPr="00D457F6">
        <w:rPr>
          <w:i/>
          <w:color w:val="1F497D" w:themeColor="text2"/>
          <w:sz w:val="20"/>
          <w:szCs w:val="20"/>
        </w:rPr>
        <w:t xml:space="preserve">For the </w:t>
      </w:r>
      <w:r w:rsidRPr="00D457F6">
        <w:rPr>
          <w:b/>
          <w:i/>
          <w:color w:val="1F497D" w:themeColor="text2"/>
          <w:sz w:val="20"/>
          <w:szCs w:val="20"/>
        </w:rPr>
        <w:t>Long Form</w:t>
      </w:r>
      <w:r w:rsidRPr="00D457F6">
        <w:rPr>
          <w:i/>
          <w:color w:val="1F497D" w:themeColor="text2"/>
          <w:sz w:val="20"/>
          <w:szCs w:val="20"/>
        </w:rPr>
        <w:t xml:space="preserve">, </w:t>
      </w:r>
      <w:r w:rsidRPr="00D457F6">
        <w:rPr>
          <w:b/>
          <w:i/>
          <w:color w:val="1F497D" w:themeColor="text2"/>
          <w:sz w:val="20"/>
          <w:szCs w:val="20"/>
        </w:rPr>
        <w:t>CM at Risk</w:t>
      </w:r>
      <w:r w:rsidRPr="00D457F6">
        <w:rPr>
          <w:i/>
          <w:color w:val="1F497D" w:themeColor="text2"/>
          <w:sz w:val="20"/>
          <w:szCs w:val="20"/>
        </w:rPr>
        <w:t xml:space="preserve">, </w:t>
      </w:r>
      <w:r w:rsidR="001763C4" w:rsidRPr="001763C4">
        <w:rPr>
          <w:b/>
          <w:bCs/>
          <w:i/>
          <w:color w:val="1F497D" w:themeColor="text2"/>
          <w:sz w:val="20"/>
          <w:szCs w:val="20"/>
        </w:rPr>
        <w:t>Brief Form</w:t>
      </w:r>
      <w:r w:rsidR="001763C4">
        <w:rPr>
          <w:b/>
          <w:bCs/>
          <w:i/>
          <w:color w:val="1F497D" w:themeColor="text2"/>
          <w:sz w:val="20"/>
          <w:szCs w:val="20"/>
        </w:rPr>
        <w:t>, Design Build,</w:t>
      </w:r>
      <w:r w:rsidR="001763C4" w:rsidRPr="001763C4">
        <w:rPr>
          <w:b/>
          <w:i/>
          <w:color w:val="1F497D" w:themeColor="text2"/>
          <w:sz w:val="20"/>
          <w:szCs w:val="20"/>
        </w:rPr>
        <w:t xml:space="preserve"> </w:t>
      </w:r>
      <w:r w:rsidRPr="00D457F6">
        <w:rPr>
          <w:b/>
          <w:i/>
          <w:color w:val="1F497D" w:themeColor="text2"/>
          <w:sz w:val="20"/>
          <w:szCs w:val="20"/>
        </w:rPr>
        <w:t>Multiple Prime</w:t>
      </w:r>
      <w:r w:rsidRPr="00D457F6">
        <w:rPr>
          <w:i/>
          <w:color w:val="1F497D" w:themeColor="text2"/>
          <w:sz w:val="20"/>
          <w:szCs w:val="20"/>
        </w:rPr>
        <w:t>,</w:t>
      </w:r>
      <w:r w:rsidR="000968B0">
        <w:rPr>
          <w:i/>
          <w:color w:val="1F497D" w:themeColor="text2"/>
          <w:sz w:val="20"/>
          <w:szCs w:val="20"/>
        </w:rPr>
        <w:t xml:space="preserve"> </w:t>
      </w:r>
      <w:r w:rsidR="001763C4">
        <w:rPr>
          <w:b/>
          <w:bCs/>
          <w:i/>
          <w:color w:val="1F497D" w:themeColor="text2"/>
          <w:sz w:val="20"/>
          <w:szCs w:val="20"/>
        </w:rPr>
        <w:t xml:space="preserve">Brief Design Build, and Energy Savings Brief Design Build </w:t>
      </w:r>
      <w:r w:rsidRPr="00D457F6">
        <w:rPr>
          <w:i/>
          <w:color w:val="1F497D" w:themeColor="text2"/>
          <w:sz w:val="20"/>
          <w:szCs w:val="20"/>
        </w:rPr>
        <w:t>delivery methods, the following shall be added to the Advertisement for Bids</w:t>
      </w:r>
      <w:r w:rsidR="001763C4">
        <w:rPr>
          <w:i/>
          <w:color w:val="1F497D" w:themeColor="text2"/>
          <w:sz w:val="20"/>
          <w:szCs w:val="20"/>
        </w:rPr>
        <w:t xml:space="preserve"> or Announcement to Prequalified Proposers</w:t>
      </w:r>
      <w:r w:rsidRPr="00D457F6">
        <w:rPr>
          <w:i/>
          <w:color w:val="1F497D" w:themeColor="text2"/>
          <w:sz w:val="20"/>
          <w:szCs w:val="20"/>
        </w:rPr>
        <w:t xml:space="preserve"> </w:t>
      </w:r>
      <w:r w:rsidR="001763C4">
        <w:rPr>
          <w:i/>
          <w:color w:val="1F497D" w:themeColor="text2"/>
          <w:sz w:val="20"/>
          <w:szCs w:val="20"/>
        </w:rPr>
        <w:t xml:space="preserve">after </w:t>
      </w:r>
      <w:r w:rsidR="005B6D55">
        <w:rPr>
          <w:i/>
          <w:color w:val="1F497D" w:themeColor="text2"/>
          <w:sz w:val="20"/>
          <w:szCs w:val="20"/>
        </w:rPr>
        <w:t>“</w:t>
      </w:r>
      <w:r w:rsidR="001763C4" w:rsidRPr="005B6D55">
        <w:rPr>
          <w:rFonts w:cs="Arial"/>
          <w:i/>
          <w:iCs/>
          <w:color w:val="1F497D" w:themeColor="text2"/>
          <w:sz w:val="20"/>
          <w:szCs w:val="20"/>
        </w:rPr>
        <w:t xml:space="preserve">This project is subject to compliance monitoring and enforcement by the Department of Industrial </w:t>
      </w:r>
      <w:proofErr w:type="gramStart"/>
      <w:r w:rsidR="001763C4" w:rsidRPr="005B6D55">
        <w:rPr>
          <w:rFonts w:cs="Arial"/>
          <w:i/>
          <w:iCs/>
          <w:color w:val="1F497D" w:themeColor="text2"/>
          <w:sz w:val="20"/>
          <w:szCs w:val="20"/>
        </w:rPr>
        <w:t>Relations</w:t>
      </w:r>
      <w:proofErr w:type="gramEnd"/>
      <w:r w:rsidR="005B6D55">
        <w:rPr>
          <w:rFonts w:cs="Arial"/>
          <w:i/>
          <w:iCs/>
          <w:color w:val="1F497D" w:themeColor="text2"/>
          <w:sz w:val="20"/>
          <w:szCs w:val="20"/>
        </w:rPr>
        <w:t>”</w:t>
      </w:r>
    </w:p>
    <w:p w14:paraId="1682A7DF" w14:textId="0D2FD61B" w:rsidR="005B6D55" w:rsidRPr="00154F67" w:rsidRDefault="005B6D55" w:rsidP="005B6D55">
      <w:pPr>
        <w:overflowPunct w:val="0"/>
        <w:autoSpaceDE w:val="0"/>
        <w:autoSpaceDN w:val="0"/>
        <w:adjustRightInd w:val="0"/>
        <w:textAlignment w:val="baseline"/>
        <w:rPr>
          <w:rFonts w:cs="Arial"/>
          <w:iCs/>
          <w:sz w:val="20"/>
          <w:szCs w:val="20"/>
        </w:rPr>
      </w:pPr>
      <w:r w:rsidRPr="00154F67">
        <w:rPr>
          <w:rFonts w:cs="Arial"/>
          <w:iCs/>
          <w:sz w:val="20"/>
          <w:szCs w:val="20"/>
        </w:rPr>
        <w:t>, and because funding under the Infrastructure Reduction Act is sought, this project is subject to requirements as set forth in Federal USC 45(b)(8)</w:t>
      </w:r>
      <w:r w:rsidR="009C0EFE">
        <w:rPr>
          <w:rFonts w:cs="Arial"/>
          <w:iCs/>
          <w:sz w:val="20"/>
          <w:szCs w:val="20"/>
        </w:rPr>
        <w:t>,</w:t>
      </w:r>
      <w:r w:rsidRPr="00154F67">
        <w:rPr>
          <w:rFonts w:cs="Arial"/>
          <w:iCs/>
          <w:sz w:val="20"/>
          <w:szCs w:val="20"/>
        </w:rPr>
        <w:t xml:space="preserve"> which include prevailing wage, reporting, and apprenticeship requirements enforced by the US Department of Labor. </w:t>
      </w:r>
    </w:p>
    <w:p w14:paraId="11E4EC41" w14:textId="5BDFF794" w:rsidR="00791E62" w:rsidRPr="00791E62" w:rsidRDefault="00791E62" w:rsidP="004C45C2">
      <w:pPr>
        <w:pStyle w:val="Heading1"/>
        <w:spacing w:line="360" w:lineRule="auto"/>
      </w:pPr>
      <w:r w:rsidRPr="00791E62">
        <w:t>Instruction to Bidders</w:t>
      </w:r>
    </w:p>
    <w:p w14:paraId="7C6E6F48" w14:textId="360929F2" w:rsidR="00273573" w:rsidRPr="00D457F6" w:rsidRDefault="00B7125C" w:rsidP="00273573">
      <w:pPr>
        <w:rPr>
          <w:i/>
          <w:color w:val="1F497D" w:themeColor="text2"/>
          <w:sz w:val="20"/>
          <w:szCs w:val="20"/>
        </w:rPr>
      </w:pPr>
      <w:r w:rsidRPr="00D31712">
        <w:rPr>
          <w:i/>
          <w:color w:val="1F497D" w:themeColor="text2"/>
          <w:sz w:val="20"/>
          <w:szCs w:val="20"/>
        </w:rPr>
        <w:t xml:space="preserve">For the </w:t>
      </w:r>
      <w:r w:rsidRPr="00D31712">
        <w:rPr>
          <w:b/>
          <w:i/>
          <w:color w:val="1F497D" w:themeColor="text2"/>
          <w:sz w:val="20"/>
          <w:szCs w:val="20"/>
        </w:rPr>
        <w:t>Long Form</w:t>
      </w:r>
      <w:r>
        <w:rPr>
          <w:b/>
          <w:i/>
          <w:color w:val="1F497D" w:themeColor="text2"/>
          <w:sz w:val="20"/>
          <w:szCs w:val="20"/>
        </w:rPr>
        <w:t xml:space="preserve">, Brief Form, Informal Form, CM at Risk, </w:t>
      </w:r>
      <w:r w:rsidRPr="00D31712">
        <w:rPr>
          <w:i/>
          <w:color w:val="1F497D" w:themeColor="text2"/>
          <w:sz w:val="20"/>
          <w:szCs w:val="20"/>
        </w:rPr>
        <w:t xml:space="preserve">and </w:t>
      </w:r>
      <w:r w:rsidRPr="00D31712">
        <w:rPr>
          <w:b/>
          <w:i/>
          <w:color w:val="1F497D" w:themeColor="text2"/>
          <w:sz w:val="20"/>
          <w:szCs w:val="20"/>
        </w:rPr>
        <w:t>Multiple Prime</w:t>
      </w:r>
      <w:r w:rsidRPr="00D31712">
        <w:rPr>
          <w:i/>
          <w:color w:val="1F497D" w:themeColor="text2"/>
          <w:sz w:val="20"/>
          <w:szCs w:val="20"/>
        </w:rPr>
        <w:t xml:space="preserve"> delivery methods</w:t>
      </w:r>
      <w:r w:rsidR="00273573">
        <w:rPr>
          <w:i/>
          <w:color w:val="1F497D" w:themeColor="text2"/>
          <w:sz w:val="20"/>
          <w:szCs w:val="20"/>
        </w:rPr>
        <w:t xml:space="preserve">, </w:t>
      </w:r>
      <w:r w:rsidR="00273573" w:rsidRPr="00D457F6">
        <w:rPr>
          <w:i/>
          <w:color w:val="1F497D" w:themeColor="text2"/>
          <w:sz w:val="20"/>
          <w:szCs w:val="20"/>
        </w:rPr>
        <w:t xml:space="preserve">the following shall be </w:t>
      </w:r>
      <w:r w:rsidR="00273573" w:rsidRPr="00441F05">
        <w:rPr>
          <w:b/>
          <w:i/>
          <w:color w:val="1F497D" w:themeColor="text2"/>
          <w:sz w:val="20"/>
          <w:szCs w:val="20"/>
          <w:u w:val="single"/>
        </w:rPr>
        <w:t>added</w:t>
      </w:r>
      <w:r w:rsidR="00273573" w:rsidRPr="00D457F6">
        <w:rPr>
          <w:i/>
          <w:color w:val="1F497D" w:themeColor="text2"/>
          <w:sz w:val="20"/>
          <w:szCs w:val="20"/>
        </w:rPr>
        <w:t xml:space="preserve"> to the Supplementary Instructions to Bidders:</w:t>
      </w:r>
      <w:r w:rsidR="00273573">
        <w:rPr>
          <w:i/>
          <w:color w:val="1F497D" w:themeColor="text2"/>
          <w:sz w:val="20"/>
          <w:szCs w:val="20"/>
        </w:rPr>
        <w:t xml:space="preserve"> </w:t>
      </w:r>
    </w:p>
    <w:p w14:paraId="7F6C0BEE" w14:textId="3183E6EC" w:rsidR="00273573" w:rsidRPr="000A2FF1" w:rsidRDefault="00273573" w:rsidP="000A2FF1">
      <w:pPr>
        <w:pStyle w:val="Heading2"/>
        <w:rPr>
          <w:b/>
          <w:bCs/>
        </w:rPr>
      </w:pPr>
      <w:r w:rsidRPr="000A2FF1">
        <w:rPr>
          <w:b/>
          <w:bCs/>
        </w:rPr>
        <w:t>MODIFICATIONS TO ARTICLE 2 – Bidder</w:t>
      </w:r>
      <w:r w:rsidR="009C0EFE" w:rsidRPr="000A2FF1">
        <w:rPr>
          <w:b/>
          <w:bCs/>
        </w:rPr>
        <w:t>’</w:t>
      </w:r>
      <w:r w:rsidRPr="000A2FF1">
        <w:rPr>
          <w:b/>
          <w:bCs/>
        </w:rPr>
        <w:t>s Representations</w:t>
      </w:r>
    </w:p>
    <w:p w14:paraId="6F12A910" w14:textId="2C3EABA6" w:rsidR="00273573" w:rsidRDefault="00273573" w:rsidP="00273573">
      <w:r w:rsidRPr="00D31712">
        <w:t>The following section</w:t>
      </w:r>
      <w:r w:rsidR="009C0EFE">
        <w:t>,</w:t>
      </w:r>
      <w:r w:rsidRPr="00D31712">
        <w:t xml:space="preserve"> </w:t>
      </w:r>
      <w:r w:rsidRPr="00707AD3">
        <w:rPr>
          <w:highlight w:val="yellow"/>
        </w:rPr>
        <w:t>2.1.</w:t>
      </w:r>
      <w:r w:rsidR="00AE5081">
        <w:rPr>
          <w:highlight w:val="yellow"/>
        </w:rPr>
        <w:t>9</w:t>
      </w:r>
      <w:r w:rsidRPr="00D31712">
        <w:t xml:space="preserve"> is </w:t>
      </w:r>
      <w:r w:rsidRPr="00441F05">
        <w:t>added</w:t>
      </w:r>
      <w:r w:rsidRPr="00D31712">
        <w:t xml:space="preserve"> to Article </w:t>
      </w:r>
      <w:r>
        <w:t>2</w:t>
      </w:r>
      <w:r w:rsidRPr="00D31712">
        <w:t>:</w:t>
      </w:r>
    </w:p>
    <w:p w14:paraId="18E77E37" w14:textId="7F358BAB" w:rsidR="00B7125C" w:rsidRDefault="00B7125C" w:rsidP="00B7125C">
      <w:pPr>
        <w:rPr>
          <w:rFonts w:cs="Arial"/>
          <w:vanish/>
        </w:rPr>
      </w:pPr>
      <w:r w:rsidRPr="008E2A19">
        <w:rPr>
          <w:rFonts w:cs="Arial"/>
        </w:rPr>
        <w:t>Bidder</w:t>
      </w:r>
      <w:r>
        <w:rPr>
          <w:rFonts w:cs="Arial"/>
        </w:rPr>
        <w:t xml:space="preserve"> (or Proposer)</w:t>
      </w:r>
      <w:r w:rsidRPr="008E2A19">
        <w:rPr>
          <w:rFonts w:cs="Arial"/>
        </w:rPr>
        <w:t xml:space="preserve"> also agrees that every contractor and all subcontractors at every tier </w:t>
      </w:r>
      <w:r w:rsidR="002039B2">
        <w:rPr>
          <w:rFonts w:cs="Arial"/>
        </w:rPr>
        <w:t xml:space="preserve">shall follow the </w:t>
      </w:r>
      <w:r w:rsidR="004255DC" w:rsidRPr="00985FB9">
        <w:t>prevailing wage</w:t>
      </w:r>
      <w:r w:rsidR="00384F3C">
        <w:t>, payroll records,</w:t>
      </w:r>
      <w:r w:rsidR="002039B2">
        <w:rPr>
          <w:rFonts w:cs="Arial"/>
        </w:rPr>
        <w:t xml:space="preserve"> and apprenticeship requirements </w:t>
      </w:r>
      <w:r>
        <w:rPr>
          <w:rFonts w:cs="Arial"/>
        </w:rPr>
        <w:t>as</w:t>
      </w:r>
      <w:r w:rsidRPr="008E2A19">
        <w:rPr>
          <w:rFonts w:cs="Arial"/>
        </w:rPr>
        <w:t xml:space="preserve"> set forth in</w:t>
      </w:r>
      <w:r w:rsidR="002039B2">
        <w:rPr>
          <w:rFonts w:cs="Arial"/>
        </w:rPr>
        <w:t xml:space="preserve"> </w:t>
      </w:r>
      <w:r w:rsidR="002039B2" w:rsidRPr="00154F67">
        <w:rPr>
          <w:rFonts w:cs="Arial"/>
          <w:highlight w:val="yellow"/>
        </w:rPr>
        <w:t>14.2</w:t>
      </w:r>
      <w:r w:rsidR="0019393C" w:rsidRPr="00154F67">
        <w:rPr>
          <w:rFonts w:cs="Arial"/>
          <w:highlight w:val="yellow"/>
        </w:rPr>
        <w:t>, 14.3</w:t>
      </w:r>
      <w:r w:rsidR="009C0EFE">
        <w:rPr>
          <w:rFonts w:cs="Arial"/>
          <w:highlight w:val="yellow"/>
        </w:rPr>
        <w:t>,</w:t>
      </w:r>
      <w:r w:rsidR="002039B2" w:rsidRPr="00154F67">
        <w:rPr>
          <w:rFonts w:cs="Arial"/>
          <w:highlight w:val="yellow"/>
        </w:rPr>
        <w:t xml:space="preserve"> and 14.4</w:t>
      </w:r>
      <w:r w:rsidR="002039B2">
        <w:rPr>
          <w:rFonts w:cs="Arial"/>
        </w:rPr>
        <w:t xml:space="preserve"> of the Supplementary Conditions.</w:t>
      </w:r>
      <w:r w:rsidRPr="00DA7B1B">
        <w:rPr>
          <w:rFonts w:cs="Arial"/>
          <w:vanish/>
        </w:rPr>
        <w:t xml:space="preserve"> </w:t>
      </w:r>
    </w:p>
    <w:p w14:paraId="567A7F88" w14:textId="3E2FBC8E" w:rsidR="00630C4F" w:rsidRDefault="00630C4F" w:rsidP="00F368B2">
      <w:pPr>
        <w:tabs>
          <w:tab w:val="left" w:pos="-360"/>
          <w:tab w:val="left" w:pos="1"/>
          <w:tab w:val="left" w:pos="504"/>
          <w:tab w:val="left" w:pos="936"/>
          <w:tab w:val="left" w:pos="1326"/>
          <w:tab w:val="right" w:pos="8568"/>
          <w:tab w:val="right" w:leader="dot" w:pos="9000"/>
        </w:tabs>
        <w:jc w:val="both"/>
      </w:pPr>
    </w:p>
    <w:p w14:paraId="347B7074" w14:textId="0DB34C14" w:rsidR="00F368B2" w:rsidRPr="002E5B8D" w:rsidRDefault="002E5B8D" w:rsidP="004C45C2">
      <w:pPr>
        <w:pStyle w:val="Heading1"/>
        <w:spacing w:line="360" w:lineRule="auto"/>
      </w:pPr>
      <w:r w:rsidRPr="002E5B8D">
        <w:lastRenderedPageBreak/>
        <w:t>Bid</w:t>
      </w:r>
      <w:r w:rsidR="00390B5E">
        <w:t>/Price Proposal</w:t>
      </w:r>
      <w:r w:rsidRPr="002E5B8D">
        <w:t xml:space="preserve"> Form</w:t>
      </w:r>
    </w:p>
    <w:p w14:paraId="7E95E921" w14:textId="277D1620" w:rsidR="00E94DBF" w:rsidRPr="00D31712" w:rsidRDefault="00E94DBF" w:rsidP="00E94DBF">
      <w:pPr>
        <w:rPr>
          <w:i/>
          <w:color w:val="1F497D" w:themeColor="text2"/>
          <w:sz w:val="20"/>
          <w:szCs w:val="20"/>
        </w:rPr>
      </w:pPr>
      <w:r w:rsidRPr="00D31712">
        <w:rPr>
          <w:i/>
          <w:color w:val="1F497D" w:themeColor="text2"/>
          <w:sz w:val="20"/>
          <w:szCs w:val="20"/>
        </w:rPr>
        <w:t xml:space="preserve">For the </w:t>
      </w:r>
      <w:r w:rsidRPr="00D31712">
        <w:rPr>
          <w:b/>
          <w:i/>
          <w:color w:val="1F497D" w:themeColor="text2"/>
          <w:sz w:val="20"/>
          <w:szCs w:val="20"/>
        </w:rPr>
        <w:t>Long Form</w:t>
      </w:r>
      <w:r w:rsidR="008E2A19">
        <w:rPr>
          <w:b/>
          <w:i/>
          <w:color w:val="1F497D" w:themeColor="text2"/>
          <w:sz w:val="20"/>
          <w:szCs w:val="20"/>
        </w:rPr>
        <w:t>, Brief Form, Informal Form, CM at Risk,</w:t>
      </w:r>
      <w:r w:rsidR="00390B5E">
        <w:rPr>
          <w:b/>
          <w:i/>
          <w:color w:val="1F497D" w:themeColor="text2"/>
          <w:sz w:val="20"/>
          <w:szCs w:val="20"/>
        </w:rPr>
        <w:t xml:space="preserve"> </w:t>
      </w:r>
      <w:r w:rsidRPr="00D31712">
        <w:rPr>
          <w:i/>
          <w:color w:val="1F497D" w:themeColor="text2"/>
          <w:sz w:val="20"/>
          <w:szCs w:val="20"/>
        </w:rPr>
        <w:t xml:space="preserve">and </w:t>
      </w:r>
      <w:r w:rsidRPr="00D31712">
        <w:rPr>
          <w:b/>
          <w:i/>
          <w:color w:val="1F497D" w:themeColor="text2"/>
          <w:sz w:val="20"/>
          <w:szCs w:val="20"/>
        </w:rPr>
        <w:t>Multiple Prime</w:t>
      </w:r>
      <w:r w:rsidRPr="00D31712">
        <w:rPr>
          <w:i/>
          <w:color w:val="1F497D" w:themeColor="text2"/>
          <w:sz w:val="20"/>
          <w:szCs w:val="20"/>
        </w:rPr>
        <w:t xml:space="preserve"> delivery methods, the following shall be </w:t>
      </w:r>
      <w:r w:rsidRPr="00D31712">
        <w:rPr>
          <w:b/>
          <w:i/>
          <w:color w:val="1F497D" w:themeColor="text2"/>
          <w:sz w:val="20"/>
          <w:szCs w:val="20"/>
          <w:u w:val="single"/>
        </w:rPr>
        <w:t>added</w:t>
      </w:r>
      <w:r w:rsidRPr="00D31712">
        <w:rPr>
          <w:i/>
          <w:color w:val="1F497D" w:themeColor="text2"/>
          <w:sz w:val="20"/>
          <w:szCs w:val="20"/>
        </w:rPr>
        <w:t xml:space="preserve"> </w:t>
      </w:r>
      <w:r w:rsidR="009C0EFE">
        <w:rPr>
          <w:i/>
          <w:color w:val="1F497D" w:themeColor="text2"/>
          <w:sz w:val="20"/>
          <w:szCs w:val="20"/>
        </w:rPr>
        <w:t>to</w:t>
      </w:r>
      <w:r>
        <w:rPr>
          <w:i/>
          <w:color w:val="1F497D" w:themeColor="text2"/>
          <w:sz w:val="20"/>
          <w:szCs w:val="20"/>
        </w:rPr>
        <w:t xml:space="preserve"> the Bid Form</w:t>
      </w:r>
      <w:r w:rsidR="00390B5E">
        <w:rPr>
          <w:i/>
          <w:color w:val="1F497D" w:themeColor="text2"/>
          <w:sz w:val="20"/>
          <w:szCs w:val="20"/>
        </w:rPr>
        <w:t xml:space="preserve"> (or Price Proposal Form)</w:t>
      </w:r>
      <w:r>
        <w:rPr>
          <w:i/>
          <w:color w:val="1F497D" w:themeColor="text2"/>
          <w:sz w:val="20"/>
          <w:szCs w:val="20"/>
        </w:rPr>
        <w:t xml:space="preserve"> </w:t>
      </w:r>
      <w:r w:rsidR="00CE3AF3">
        <w:rPr>
          <w:i/>
          <w:color w:val="1F497D" w:themeColor="text2"/>
          <w:sz w:val="20"/>
          <w:szCs w:val="20"/>
        </w:rPr>
        <w:t xml:space="preserve">at the end of </w:t>
      </w:r>
      <w:r w:rsidRPr="00D31712">
        <w:rPr>
          <w:b/>
          <w:i/>
          <w:color w:val="1F497D" w:themeColor="text2"/>
          <w:sz w:val="20"/>
          <w:szCs w:val="20"/>
        </w:rPr>
        <w:t xml:space="preserve">article 1- </w:t>
      </w:r>
      <w:r>
        <w:rPr>
          <w:b/>
          <w:i/>
          <w:color w:val="1F497D" w:themeColor="text2"/>
          <w:sz w:val="20"/>
          <w:szCs w:val="20"/>
        </w:rPr>
        <w:t>Bidder’s</w:t>
      </w:r>
      <w:r w:rsidR="00390B5E">
        <w:rPr>
          <w:b/>
          <w:i/>
          <w:color w:val="1F497D" w:themeColor="text2"/>
          <w:sz w:val="20"/>
          <w:szCs w:val="20"/>
        </w:rPr>
        <w:t xml:space="preserve"> or (Proposer’s)</w:t>
      </w:r>
      <w:r>
        <w:rPr>
          <w:b/>
          <w:i/>
          <w:color w:val="1F497D" w:themeColor="text2"/>
          <w:sz w:val="20"/>
          <w:szCs w:val="20"/>
        </w:rPr>
        <w:t xml:space="preserve"> Representations</w:t>
      </w:r>
      <w:r w:rsidRPr="00D31712">
        <w:rPr>
          <w:i/>
          <w:color w:val="1F497D" w:themeColor="text2"/>
          <w:sz w:val="20"/>
          <w:szCs w:val="20"/>
        </w:rPr>
        <w:t>:</w:t>
      </w:r>
    </w:p>
    <w:p w14:paraId="581D92C5" w14:textId="6C4FA0EF" w:rsidR="00E94DBF" w:rsidRDefault="00E94DBF" w:rsidP="00BE4E8A">
      <w:pPr>
        <w:rPr>
          <w:rFonts w:cs="Arial"/>
        </w:rPr>
      </w:pPr>
      <w:r w:rsidRPr="008E2A19">
        <w:rPr>
          <w:rFonts w:cs="Arial"/>
        </w:rPr>
        <w:t>Bidder</w:t>
      </w:r>
      <w:r w:rsidR="00390B5E">
        <w:rPr>
          <w:rFonts w:cs="Arial"/>
        </w:rPr>
        <w:t xml:space="preserve"> (or Proposer)</w:t>
      </w:r>
      <w:r w:rsidRPr="008E2A19">
        <w:rPr>
          <w:rFonts w:cs="Arial"/>
        </w:rPr>
        <w:t xml:space="preserve"> also agrees </w:t>
      </w:r>
      <w:r w:rsidR="00194A3A" w:rsidRPr="008E2A19">
        <w:rPr>
          <w:rFonts w:cs="Arial"/>
        </w:rPr>
        <w:t>that every contractor</w:t>
      </w:r>
      <w:r w:rsidR="00EA447B" w:rsidRPr="008E2A19">
        <w:rPr>
          <w:rFonts w:cs="Arial"/>
        </w:rPr>
        <w:t xml:space="preserve"> and all </w:t>
      </w:r>
      <w:r w:rsidR="00194A3A" w:rsidRPr="008E2A19">
        <w:rPr>
          <w:rFonts w:cs="Arial"/>
        </w:rPr>
        <w:t>s</w:t>
      </w:r>
      <w:r w:rsidR="00EA447B" w:rsidRPr="008E2A19">
        <w:rPr>
          <w:rFonts w:cs="Arial"/>
        </w:rPr>
        <w:t>ubcontractors</w:t>
      </w:r>
      <w:r w:rsidR="00194A3A" w:rsidRPr="008E2A19">
        <w:rPr>
          <w:rFonts w:cs="Arial"/>
        </w:rPr>
        <w:t xml:space="preserve"> at every tier</w:t>
      </w:r>
      <w:r w:rsidR="00EA447B" w:rsidRPr="008E2A19">
        <w:rPr>
          <w:rFonts w:cs="Arial"/>
        </w:rPr>
        <w:t xml:space="preserve"> </w:t>
      </w:r>
      <w:r w:rsidR="002039B2">
        <w:rPr>
          <w:rFonts w:cs="Arial"/>
        </w:rPr>
        <w:t xml:space="preserve">shall follow the </w:t>
      </w:r>
      <w:r w:rsidR="004255DC" w:rsidRPr="00985FB9">
        <w:t>prevailing wage</w:t>
      </w:r>
      <w:r w:rsidR="00384F3C">
        <w:t>, payroll records,</w:t>
      </w:r>
      <w:r w:rsidR="002039B2">
        <w:rPr>
          <w:rFonts w:cs="Arial"/>
        </w:rPr>
        <w:t xml:space="preserve"> and apprenticeship requirements </w:t>
      </w:r>
      <w:r w:rsidR="008E2A19">
        <w:rPr>
          <w:rFonts w:cs="Arial"/>
        </w:rPr>
        <w:t>as</w:t>
      </w:r>
      <w:r w:rsidR="00EA447B" w:rsidRPr="008E2A19">
        <w:rPr>
          <w:rFonts w:cs="Arial"/>
        </w:rPr>
        <w:t xml:space="preserve"> set forth in </w:t>
      </w:r>
      <w:r w:rsidR="00EA447B" w:rsidRPr="008E2A19">
        <w:rPr>
          <w:rFonts w:cs="Arial"/>
          <w:highlight w:val="yellow"/>
        </w:rPr>
        <w:t>Article 2.1.</w:t>
      </w:r>
      <w:r w:rsidR="00AE5081" w:rsidRPr="0019393C">
        <w:rPr>
          <w:rFonts w:cs="Arial"/>
          <w:highlight w:val="yellow"/>
        </w:rPr>
        <w:t>9</w:t>
      </w:r>
      <w:r w:rsidR="00AE5081" w:rsidRPr="008E2A19">
        <w:rPr>
          <w:rFonts w:cs="Arial"/>
        </w:rPr>
        <w:t xml:space="preserve"> </w:t>
      </w:r>
      <w:r w:rsidR="00EA447B" w:rsidRPr="008E2A19">
        <w:rPr>
          <w:rFonts w:cs="Arial"/>
        </w:rPr>
        <w:t xml:space="preserve">of the Instructions to Bidders. </w:t>
      </w:r>
    </w:p>
    <w:p w14:paraId="7F07D7D7" w14:textId="0D0A50BC" w:rsidR="00707AD3" w:rsidRPr="00D31712" w:rsidRDefault="00707AD3" w:rsidP="00707AD3">
      <w:pPr>
        <w:rPr>
          <w:i/>
          <w:color w:val="1F497D" w:themeColor="text2"/>
          <w:sz w:val="20"/>
          <w:szCs w:val="20"/>
        </w:rPr>
      </w:pPr>
      <w:r w:rsidRPr="00D31712">
        <w:rPr>
          <w:i/>
          <w:color w:val="1F497D" w:themeColor="text2"/>
          <w:sz w:val="20"/>
          <w:szCs w:val="20"/>
        </w:rPr>
        <w:t xml:space="preserve">For the </w:t>
      </w:r>
      <w:r>
        <w:rPr>
          <w:b/>
          <w:i/>
          <w:color w:val="1F497D" w:themeColor="text2"/>
          <w:sz w:val="20"/>
          <w:szCs w:val="20"/>
        </w:rPr>
        <w:t xml:space="preserve">Design Build, Brief Design Build, and Energy Savings Brief Design Build </w:t>
      </w:r>
      <w:r w:rsidRPr="00D31712">
        <w:rPr>
          <w:i/>
          <w:color w:val="1F497D" w:themeColor="text2"/>
          <w:sz w:val="20"/>
          <w:szCs w:val="20"/>
        </w:rPr>
        <w:t xml:space="preserve">delivery methods, the following shall be </w:t>
      </w:r>
      <w:r w:rsidRPr="00D31712">
        <w:rPr>
          <w:b/>
          <w:i/>
          <w:color w:val="1F497D" w:themeColor="text2"/>
          <w:sz w:val="20"/>
          <w:szCs w:val="20"/>
          <w:u w:val="single"/>
        </w:rPr>
        <w:t>added</w:t>
      </w:r>
      <w:r w:rsidRPr="00D31712">
        <w:rPr>
          <w:i/>
          <w:color w:val="1F497D" w:themeColor="text2"/>
          <w:sz w:val="20"/>
          <w:szCs w:val="20"/>
        </w:rPr>
        <w:t xml:space="preserve"> </w:t>
      </w:r>
      <w:r>
        <w:rPr>
          <w:i/>
          <w:color w:val="1F497D" w:themeColor="text2"/>
          <w:sz w:val="20"/>
          <w:szCs w:val="20"/>
        </w:rPr>
        <w:t xml:space="preserve">in the Price Proposal Form at the end of </w:t>
      </w:r>
      <w:r w:rsidRPr="00D31712">
        <w:rPr>
          <w:b/>
          <w:i/>
          <w:color w:val="1F497D" w:themeColor="text2"/>
          <w:sz w:val="20"/>
          <w:szCs w:val="20"/>
        </w:rPr>
        <w:t xml:space="preserve">article 1- </w:t>
      </w:r>
      <w:r>
        <w:rPr>
          <w:b/>
          <w:i/>
          <w:color w:val="1F497D" w:themeColor="text2"/>
          <w:sz w:val="20"/>
          <w:szCs w:val="20"/>
        </w:rPr>
        <w:t>Bidder’s or (Proposer’s) Representations</w:t>
      </w:r>
      <w:r w:rsidRPr="00D31712">
        <w:rPr>
          <w:i/>
          <w:color w:val="1F497D" w:themeColor="text2"/>
          <w:sz w:val="20"/>
          <w:szCs w:val="20"/>
        </w:rPr>
        <w:t>:</w:t>
      </w:r>
    </w:p>
    <w:p w14:paraId="52FB65B9" w14:textId="04C68965" w:rsidR="002039B2" w:rsidRDefault="00707AD3" w:rsidP="002039B2">
      <w:pPr>
        <w:rPr>
          <w:rFonts w:cs="Arial"/>
        </w:rPr>
      </w:pPr>
      <w:r w:rsidRPr="008E2A19">
        <w:rPr>
          <w:rFonts w:cs="Arial"/>
        </w:rPr>
        <w:t>Bidder</w:t>
      </w:r>
      <w:r>
        <w:rPr>
          <w:rFonts w:cs="Arial"/>
        </w:rPr>
        <w:t xml:space="preserve"> (or Proposer)</w:t>
      </w:r>
      <w:r w:rsidRPr="008E2A19">
        <w:rPr>
          <w:rFonts w:cs="Arial"/>
        </w:rPr>
        <w:t xml:space="preserve"> also agrees that every contractor and all subcontractors at every tier </w:t>
      </w:r>
      <w:r w:rsidR="002039B2">
        <w:rPr>
          <w:rFonts w:cs="Arial"/>
        </w:rPr>
        <w:t xml:space="preserve">shall follow the </w:t>
      </w:r>
      <w:r w:rsidR="004255DC" w:rsidRPr="00985FB9">
        <w:t>prevailing wage</w:t>
      </w:r>
      <w:r w:rsidR="00384F3C">
        <w:t>, payroll records,</w:t>
      </w:r>
      <w:r w:rsidR="002039B2">
        <w:rPr>
          <w:rFonts w:cs="Arial"/>
        </w:rPr>
        <w:t xml:space="preserve"> and apprenticeship requirements </w:t>
      </w:r>
      <w:r>
        <w:rPr>
          <w:rFonts w:cs="Arial"/>
        </w:rPr>
        <w:t>as</w:t>
      </w:r>
      <w:r w:rsidRPr="008E2A19">
        <w:rPr>
          <w:rFonts w:cs="Arial"/>
        </w:rPr>
        <w:t xml:space="preserve"> set forth in</w:t>
      </w:r>
      <w:r w:rsidR="00A76ED6">
        <w:rPr>
          <w:rFonts w:cs="Arial"/>
        </w:rPr>
        <w:t xml:space="preserve"> </w:t>
      </w:r>
      <w:r w:rsidR="00A76ED6" w:rsidRPr="00C57732">
        <w:rPr>
          <w:rFonts w:cs="Arial"/>
          <w:highlight w:val="yellow"/>
        </w:rPr>
        <w:t>14.2</w:t>
      </w:r>
      <w:r w:rsidR="00B86879" w:rsidRPr="00C57732">
        <w:rPr>
          <w:rFonts w:cs="Arial"/>
          <w:highlight w:val="yellow"/>
        </w:rPr>
        <w:t>, 14.3</w:t>
      </w:r>
      <w:r w:rsidR="009C0EFE">
        <w:rPr>
          <w:rFonts w:cs="Arial"/>
          <w:highlight w:val="yellow"/>
        </w:rPr>
        <w:t>,</w:t>
      </w:r>
      <w:r w:rsidR="00A76ED6" w:rsidRPr="00C57732">
        <w:rPr>
          <w:rFonts w:cs="Arial"/>
          <w:highlight w:val="yellow"/>
        </w:rPr>
        <w:t xml:space="preserve"> and 14.4</w:t>
      </w:r>
      <w:r w:rsidR="00A76ED6">
        <w:rPr>
          <w:rFonts w:cs="Arial"/>
        </w:rPr>
        <w:t xml:space="preserve"> of the Supplementary Condition</w:t>
      </w:r>
      <w:r w:rsidR="00C57732">
        <w:rPr>
          <w:rFonts w:cs="Arial"/>
        </w:rPr>
        <w:t>s</w:t>
      </w:r>
    </w:p>
    <w:p w14:paraId="6AF05F5E" w14:textId="3752FB53" w:rsidR="00707AD3" w:rsidRPr="008E2A19" w:rsidRDefault="00707AD3" w:rsidP="00707AD3">
      <w:pPr>
        <w:rPr>
          <w:rFonts w:cs="Arial"/>
        </w:rPr>
      </w:pPr>
    </w:p>
    <w:p w14:paraId="25A0FF04" w14:textId="77777777" w:rsidR="002E5B8D" w:rsidRPr="00C21BC4" w:rsidRDefault="00CE2115" w:rsidP="004C45C2">
      <w:pPr>
        <w:pStyle w:val="Heading1"/>
        <w:spacing w:line="360" w:lineRule="auto"/>
      </w:pPr>
      <w:r w:rsidRPr="00C21BC4">
        <w:t>Supplementary Conditions</w:t>
      </w:r>
    </w:p>
    <w:p w14:paraId="131A7690" w14:textId="6E45B6A2" w:rsidR="00A64D7C" w:rsidRDefault="00985FB9">
      <w:pPr>
        <w:rPr>
          <w:i/>
          <w:color w:val="1F497D" w:themeColor="text2"/>
          <w:sz w:val="20"/>
          <w:szCs w:val="20"/>
        </w:rPr>
      </w:pPr>
      <w:r w:rsidRPr="00D457F6">
        <w:rPr>
          <w:i/>
          <w:color w:val="1F497D" w:themeColor="text2"/>
          <w:sz w:val="20"/>
          <w:szCs w:val="20"/>
        </w:rPr>
        <w:t xml:space="preserve">For the </w:t>
      </w:r>
      <w:r w:rsidRPr="00D457F6">
        <w:rPr>
          <w:b/>
          <w:i/>
          <w:color w:val="1F497D" w:themeColor="text2"/>
          <w:sz w:val="20"/>
          <w:szCs w:val="20"/>
        </w:rPr>
        <w:t>Long Form</w:t>
      </w:r>
      <w:r w:rsidRPr="00D457F6">
        <w:rPr>
          <w:i/>
          <w:color w:val="1F497D" w:themeColor="text2"/>
          <w:sz w:val="20"/>
          <w:szCs w:val="20"/>
        </w:rPr>
        <w:t xml:space="preserve">, </w:t>
      </w:r>
      <w:r w:rsidRPr="00D457F6">
        <w:rPr>
          <w:b/>
          <w:i/>
          <w:color w:val="1F497D" w:themeColor="text2"/>
          <w:sz w:val="20"/>
          <w:szCs w:val="20"/>
        </w:rPr>
        <w:t>CM at Risk</w:t>
      </w:r>
      <w:r w:rsidRPr="00D457F6">
        <w:rPr>
          <w:i/>
          <w:color w:val="1F497D" w:themeColor="text2"/>
          <w:sz w:val="20"/>
          <w:szCs w:val="20"/>
        </w:rPr>
        <w:t xml:space="preserve">, </w:t>
      </w:r>
      <w:r w:rsidRPr="001763C4">
        <w:rPr>
          <w:b/>
          <w:bCs/>
          <w:i/>
          <w:color w:val="1F497D" w:themeColor="text2"/>
          <w:sz w:val="20"/>
          <w:szCs w:val="20"/>
        </w:rPr>
        <w:t>Brief Form</w:t>
      </w:r>
      <w:r>
        <w:rPr>
          <w:b/>
          <w:bCs/>
          <w:i/>
          <w:color w:val="1F497D" w:themeColor="text2"/>
          <w:sz w:val="20"/>
          <w:szCs w:val="20"/>
        </w:rPr>
        <w:t>, Design Build,</w:t>
      </w:r>
      <w:r w:rsidRPr="001763C4">
        <w:rPr>
          <w:b/>
          <w:i/>
          <w:color w:val="1F497D" w:themeColor="text2"/>
          <w:sz w:val="20"/>
          <w:szCs w:val="20"/>
        </w:rPr>
        <w:t xml:space="preserve"> </w:t>
      </w:r>
      <w:r w:rsidRPr="00D457F6">
        <w:rPr>
          <w:b/>
          <w:i/>
          <w:color w:val="1F497D" w:themeColor="text2"/>
          <w:sz w:val="20"/>
          <w:szCs w:val="20"/>
        </w:rPr>
        <w:t>Multiple Prime</w:t>
      </w:r>
      <w:r w:rsidRPr="00D457F6">
        <w:rPr>
          <w:i/>
          <w:color w:val="1F497D" w:themeColor="text2"/>
          <w:sz w:val="20"/>
          <w:szCs w:val="20"/>
        </w:rPr>
        <w:t xml:space="preserve">, </w:t>
      </w:r>
      <w:r>
        <w:rPr>
          <w:b/>
          <w:bCs/>
          <w:i/>
          <w:color w:val="1F497D" w:themeColor="text2"/>
          <w:sz w:val="20"/>
          <w:szCs w:val="20"/>
        </w:rPr>
        <w:t xml:space="preserve">Informal Form, Brief Design Build, and Energy Savings Brief Design Build </w:t>
      </w:r>
      <w:r w:rsidRPr="00D457F6">
        <w:rPr>
          <w:i/>
          <w:color w:val="1F497D" w:themeColor="text2"/>
          <w:sz w:val="20"/>
          <w:szCs w:val="20"/>
        </w:rPr>
        <w:t>delivery methods</w:t>
      </w:r>
      <w:r w:rsidR="00A64D7C" w:rsidRPr="00D31712">
        <w:rPr>
          <w:i/>
          <w:color w:val="1F497D" w:themeColor="text2"/>
          <w:sz w:val="20"/>
          <w:szCs w:val="20"/>
        </w:rPr>
        <w:t xml:space="preserve">, the following shall be </w:t>
      </w:r>
      <w:r w:rsidR="00051BBF" w:rsidRPr="00D31712">
        <w:rPr>
          <w:b/>
          <w:i/>
          <w:color w:val="1F497D" w:themeColor="text2"/>
          <w:sz w:val="20"/>
          <w:szCs w:val="20"/>
          <w:u w:val="single"/>
        </w:rPr>
        <w:t>added</w:t>
      </w:r>
      <w:r w:rsidR="00A64D7C" w:rsidRPr="00D31712">
        <w:rPr>
          <w:i/>
          <w:color w:val="1F497D" w:themeColor="text2"/>
          <w:sz w:val="20"/>
          <w:szCs w:val="20"/>
        </w:rPr>
        <w:t xml:space="preserve"> to the Supplementary Conditions</w:t>
      </w:r>
      <w:r w:rsidR="008A7FC2">
        <w:rPr>
          <w:i/>
          <w:color w:val="1F497D" w:themeColor="text2"/>
          <w:sz w:val="20"/>
          <w:szCs w:val="20"/>
        </w:rPr>
        <w:t xml:space="preserve"> (</w:t>
      </w:r>
      <w:r w:rsidR="00FE5B19">
        <w:rPr>
          <w:i/>
          <w:color w:val="1F497D" w:themeColor="text2"/>
          <w:sz w:val="20"/>
          <w:szCs w:val="20"/>
        </w:rPr>
        <w:t>u</w:t>
      </w:r>
      <w:r w:rsidR="00457190" w:rsidRPr="00FE5B19">
        <w:rPr>
          <w:i/>
          <w:color w:val="1F497D" w:themeColor="text2"/>
          <w:sz w:val="20"/>
          <w:szCs w:val="20"/>
        </w:rPr>
        <w:t>se Contractor, CM/Contractor</w:t>
      </w:r>
      <w:r w:rsidR="00FE5B19" w:rsidRPr="00FE5B19">
        <w:rPr>
          <w:i/>
          <w:color w:val="1F497D" w:themeColor="text2"/>
          <w:sz w:val="20"/>
          <w:szCs w:val="20"/>
        </w:rPr>
        <w:t>,</w:t>
      </w:r>
      <w:r w:rsidR="00457190" w:rsidRPr="00FE5B19">
        <w:rPr>
          <w:i/>
          <w:color w:val="1F497D" w:themeColor="text2"/>
          <w:sz w:val="20"/>
          <w:szCs w:val="20"/>
        </w:rPr>
        <w:t xml:space="preserve"> or Design Builder as </w:t>
      </w:r>
      <w:r w:rsidR="00FE5B19" w:rsidRPr="00FE5B19">
        <w:rPr>
          <w:i/>
          <w:color w:val="1F497D" w:themeColor="text2"/>
          <w:sz w:val="20"/>
          <w:szCs w:val="20"/>
        </w:rPr>
        <w:t>appropriate</w:t>
      </w:r>
      <w:r w:rsidR="008A7FC2">
        <w:rPr>
          <w:i/>
          <w:color w:val="1F497D" w:themeColor="text2"/>
          <w:sz w:val="20"/>
          <w:szCs w:val="20"/>
        </w:rPr>
        <w:t>)</w:t>
      </w:r>
      <w:r w:rsidR="00A64D7C" w:rsidRPr="00FE5B19">
        <w:rPr>
          <w:i/>
          <w:color w:val="1F497D" w:themeColor="text2"/>
          <w:sz w:val="20"/>
          <w:szCs w:val="20"/>
        </w:rPr>
        <w:t>:</w:t>
      </w:r>
    </w:p>
    <w:p w14:paraId="616BF132" w14:textId="77777777" w:rsidR="00985FB9" w:rsidRPr="00D31712" w:rsidRDefault="00985FB9">
      <w:pPr>
        <w:rPr>
          <w:i/>
          <w:color w:val="1F497D" w:themeColor="text2"/>
          <w:sz w:val="20"/>
          <w:szCs w:val="20"/>
        </w:rPr>
      </w:pPr>
    </w:p>
    <w:p w14:paraId="2B37A463" w14:textId="77777777" w:rsidR="00985FB9" w:rsidRPr="008B436A" w:rsidRDefault="00985FB9" w:rsidP="000A2FF1">
      <w:pPr>
        <w:pStyle w:val="Heading2"/>
      </w:pPr>
      <w:r w:rsidRPr="008B436A">
        <w:t>ADDITIONS TO ARTICLE 14.2 PREVAILING WAGE RATES</w:t>
      </w:r>
    </w:p>
    <w:p w14:paraId="10AA3F9C" w14:textId="1D5EC36B" w:rsidR="00985FB9" w:rsidRPr="00985FB9" w:rsidRDefault="00985FB9" w:rsidP="00985FB9">
      <w:r w:rsidRPr="00985FB9">
        <w:t xml:space="preserve">14.2.4    </w:t>
      </w:r>
      <w:r w:rsidRPr="00216398">
        <w:rPr>
          <w:highlight w:val="yellow"/>
        </w:rPr>
        <w:t>Design</w:t>
      </w:r>
      <w:r w:rsidRPr="00985FB9">
        <w:t xml:space="preserve"> </w:t>
      </w:r>
      <w:r w:rsidRPr="00C932C8">
        <w:rPr>
          <w:highlight w:val="yellow"/>
        </w:rPr>
        <w:t xml:space="preserve">Builder </w:t>
      </w:r>
      <w:r w:rsidRPr="00985FB9">
        <w:t xml:space="preserve">shall comply and shall ensure that all Subcontractors comply with the prevailing wage requirements for construction, alteration, or repair of a similar character in the locality in which the Work is performed as most recently determined by the Secretary of Labor, in accordance with subchapter IV of chapter 31 of title 40, United States Code (the “Federal Prevailing Wage”).  Compliance with these sections is required by this Contract irrespective of whether the Work relates to a “qualified facility” under 26 USC 45(b).  The </w:t>
      </w:r>
      <w:r w:rsidRPr="00216398">
        <w:rPr>
          <w:highlight w:val="yellow"/>
        </w:rPr>
        <w:t>Design B</w:t>
      </w:r>
      <w:r w:rsidRPr="00C932C8">
        <w:rPr>
          <w:highlight w:val="yellow"/>
        </w:rPr>
        <w:t>uilder</w:t>
      </w:r>
      <w:r w:rsidRPr="00985FB9">
        <w:t xml:space="preserve"> shall, and shall ensure that all Subcontractors</w:t>
      </w:r>
      <w:r w:rsidR="00FF102B">
        <w:t>,</w:t>
      </w:r>
      <w:r w:rsidRPr="00985FB9">
        <w:t xml:space="preserve"> maintain and preserve sufficient records, including books of account or records for work performed by </w:t>
      </w:r>
      <w:r w:rsidR="00FF102B">
        <w:t xml:space="preserve">the </w:t>
      </w:r>
      <w:r w:rsidRPr="00216398">
        <w:rPr>
          <w:highlight w:val="yellow"/>
        </w:rPr>
        <w:t>Design</w:t>
      </w:r>
      <w:r w:rsidRPr="00985FB9">
        <w:t xml:space="preserve"> </w:t>
      </w:r>
      <w:r w:rsidRPr="00C932C8">
        <w:rPr>
          <w:highlight w:val="yellow"/>
        </w:rPr>
        <w:t>Builder,</w:t>
      </w:r>
      <w:r w:rsidRPr="00985FB9">
        <w:t xml:space="preserve"> the Subcontractors</w:t>
      </w:r>
      <w:r w:rsidR="00FF102B">
        <w:t>,</w:t>
      </w:r>
      <w:r w:rsidRPr="00985FB9">
        <w:t xml:space="preserve"> and their respective personnel, to establish that all workers, laborers</w:t>
      </w:r>
      <w:r w:rsidR="00FF102B">
        <w:t>,</w:t>
      </w:r>
      <w:r w:rsidRPr="00985FB9">
        <w:t xml:space="preserve"> and mechanics were paid wages not less than such Federal Prevailing Wage rates, in accordance with the general recordkeeping requirements under Internal Revenue Code Section § 6001 and § 1.6001–1, et seq. </w:t>
      </w:r>
      <w:r w:rsidRPr="00216398">
        <w:rPr>
          <w:highlight w:val="yellow"/>
        </w:rPr>
        <w:t>Design</w:t>
      </w:r>
      <w:r w:rsidRPr="00985FB9">
        <w:t xml:space="preserve"> </w:t>
      </w:r>
      <w:r w:rsidRPr="00C932C8">
        <w:rPr>
          <w:highlight w:val="yellow"/>
        </w:rPr>
        <w:t>Builder</w:t>
      </w:r>
      <w:r w:rsidRPr="00985FB9">
        <w:t xml:space="preserve"> shall comply with all reporting requirements designated by the Federal Government in order to receive any tax deductions related to the Federal Prevailing Wage.  These reporting requirements may be updated frequently by the IRS and Treasury Department, and it is </w:t>
      </w:r>
      <w:r w:rsidRPr="00216398">
        <w:rPr>
          <w:highlight w:val="yellow"/>
        </w:rPr>
        <w:t>Design</w:t>
      </w:r>
      <w:r w:rsidRPr="00985FB9">
        <w:t xml:space="preserve"> </w:t>
      </w:r>
      <w:r w:rsidRPr="00C932C8">
        <w:rPr>
          <w:highlight w:val="yellow"/>
        </w:rPr>
        <w:t>Builder’</w:t>
      </w:r>
      <w:r w:rsidRPr="00985FB9">
        <w:t xml:space="preserve">s obligation to stay apprised and comply with all changes in reporting requirements.    </w:t>
      </w:r>
    </w:p>
    <w:p w14:paraId="6E570EBF" w14:textId="58085E7F" w:rsidR="00985FB9" w:rsidRPr="00985FB9" w:rsidRDefault="00985FB9" w:rsidP="00985FB9">
      <w:r w:rsidRPr="00985FB9">
        <w:t xml:space="preserve">14.2.5    The Federal Prevailing Wage rates are available at sam.gov.  </w:t>
      </w:r>
      <w:r w:rsidRPr="00216398">
        <w:rPr>
          <w:highlight w:val="yellow"/>
        </w:rPr>
        <w:t>Design</w:t>
      </w:r>
      <w:r w:rsidRPr="00985FB9">
        <w:t xml:space="preserve"> </w:t>
      </w:r>
      <w:r w:rsidRPr="00C932C8">
        <w:rPr>
          <w:highlight w:val="yellow"/>
        </w:rPr>
        <w:t>Builder</w:t>
      </w:r>
      <w:r w:rsidRPr="00985FB9">
        <w:t xml:space="preserve"> shall cause all subcontracts to include the provision that all Subcontractors shall pay not less than the </w:t>
      </w:r>
      <w:r w:rsidRPr="00985FB9">
        <w:lastRenderedPageBreak/>
        <w:t>Federal Prevailing Wages to all workers, laborers</w:t>
      </w:r>
      <w:r w:rsidR="00FF102B">
        <w:t>,</w:t>
      </w:r>
      <w:r w:rsidRPr="00985FB9">
        <w:t xml:space="preserve"> and mechanics employed by such Subcontractors in the execution of the Construction Work.  </w:t>
      </w:r>
      <w:r w:rsidRPr="00216398">
        <w:rPr>
          <w:highlight w:val="yellow"/>
        </w:rPr>
        <w:t>Design B</w:t>
      </w:r>
      <w:r w:rsidRPr="00C932C8">
        <w:rPr>
          <w:highlight w:val="yellow"/>
        </w:rPr>
        <w:t>uilder</w:t>
      </w:r>
      <w:r w:rsidRPr="00985FB9">
        <w:t xml:space="preserve"> shall be responsible for all costs, fees</w:t>
      </w:r>
      <w:r w:rsidR="00FF102B">
        <w:t>,</w:t>
      </w:r>
      <w:r w:rsidRPr="00985FB9">
        <w:t xml:space="preserve"> and penalties associated with any failure to pay the appropriate Federal Prevailing Wage rates.  The amount of this penalty shall be determined pursuant to 26 USC 45(b)(7)(B)(i)(II) and 26 USC 45(b)(7)(B)(iii).  Such amounts may be deducted from the Contract Sum or sought directly from the surety under its Performance Bond if there are insufficient funds remaining in the Contract Sum.  </w:t>
      </w:r>
      <w:r w:rsidRPr="00216398">
        <w:rPr>
          <w:highlight w:val="yellow"/>
        </w:rPr>
        <w:t>Design</w:t>
      </w:r>
      <w:r w:rsidRPr="00985FB9">
        <w:t xml:space="preserve"> </w:t>
      </w:r>
      <w:r w:rsidRPr="00C932C8">
        <w:rPr>
          <w:highlight w:val="yellow"/>
        </w:rPr>
        <w:t>Builder</w:t>
      </w:r>
      <w:r w:rsidRPr="00985FB9">
        <w:t xml:space="preserve"> shall also pay to any worker, laborer or mechanic who was paid less than the Federal Prevailing Wage rate for the work or craft for which the worker was employed for any portion of the Construction Work amounts calculated pursuant to 26 USC 45(b)(7)(B)(i)(I).  If </w:t>
      </w:r>
      <w:r w:rsidRPr="00216398">
        <w:rPr>
          <w:highlight w:val="yellow"/>
        </w:rPr>
        <w:t>Design</w:t>
      </w:r>
      <w:r w:rsidRPr="00985FB9">
        <w:t xml:space="preserve"> </w:t>
      </w:r>
      <w:r w:rsidRPr="00C932C8">
        <w:rPr>
          <w:highlight w:val="yellow"/>
        </w:rPr>
        <w:t>Builder</w:t>
      </w:r>
      <w:r w:rsidRPr="00985FB9">
        <w:t xml:space="preserve"> fails to pay such amount within 30 days following receipt of written notice from the University, the University may pay such amounts and pursue reimbursement from </w:t>
      </w:r>
      <w:r w:rsidRPr="00216398">
        <w:rPr>
          <w:highlight w:val="yellow"/>
        </w:rPr>
        <w:t>Design</w:t>
      </w:r>
      <w:r w:rsidRPr="00985FB9">
        <w:t xml:space="preserve"> </w:t>
      </w:r>
      <w:r w:rsidRPr="00C932C8">
        <w:rPr>
          <w:highlight w:val="yellow"/>
        </w:rPr>
        <w:t>Builder</w:t>
      </w:r>
      <w:r w:rsidRPr="00985FB9">
        <w:t xml:space="preserve"> for such amounts, plus interest and expenses.</w:t>
      </w:r>
    </w:p>
    <w:p w14:paraId="0091F359" w14:textId="4FA95442" w:rsidR="00985FB9" w:rsidRPr="00985FB9" w:rsidRDefault="00985FB9" w:rsidP="00985FB9">
      <w:r w:rsidRPr="00985FB9">
        <w:t xml:space="preserve">14.2.6   In the event of any conflict between the State Prevailing Wage rates and the Federal Prevailing Wage rates, the higher amount shall be controlling under this Section 14.2.  </w:t>
      </w:r>
    </w:p>
    <w:p w14:paraId="25B3FE81" w14:textId="7EBB7254" w:rsidR="00985FB9" w:rsidRDefault="00985FB9" w:rsidP="008B436A">
      <w:pPr>
        <w:pStyle w:val="Heading2"/>
        <w:ind w:firstLine="720"/>
      </w:pPr>
      <w:r w:rsidRPr="00985FB9">
        <w:t>ADDITIONS TO ARTICLE 14.</w:t>
      </w:r>
      <w:r>
        <w:t>3</w:t>
      </w:r>
      <w:r w:rsidRPr="00985FB9">
        <w:t xml:space="preserve"> </w:t>
      </w:r>
      <w:r>
        <w:t>PAYROLL RECORDS</w:t>
      </w:r>
    </w:p>
    <w:p w14:paraId="2D5A95FC" w14:textId="7FA11105" w:rsidR="005E6F7A" w:rsidRPr="00985FB9" w:rsidRDefault="005E6F7A" w:rsidP="005E6F7A">
      <w:r w:rsidRPr="005E6F7A">
        <w:t>14.</w:t>
      </w:r>
      <w:r w:rsidR="00363CD2">
        <w:t>3</w:t>
      </w:r>
      <w:r w:rsidRPr="005E6F7A">
        <w:t xml:space="preserve">.4    </w:t>
      </w:r>
      <w:r w:rsidR="00216398" w:rsidRPr="00216398">
        <w:rPr>
          <w:highlight w:val="yellow"/>
        </w:rPr>
        <w:t>Design</w:t>
      </w:r>
      <w:r w:rsidR="00216398">
        <w:t xml:space="preserve"> </w:t>
      </w:r>
      <w:r w:rsidR="00B86879" w:rsidRPr="00C932C8">
        <w:rPr>
          <w:highlight w:val="yellow"/>
        </w:rPr>
        <w:t>Builder</w:t>
      </w:r>
      <w:r w:rsidR="00B86879">
        <w:t xml:space="preserve"> </w:t>
      </w:r>
      <w:r w:rsidRPr="005E6F7A">
        <w:t>and every Subcontractor required to submit certified payrolls shall use the web-based electronic certified payroll reporting (</w:t>
      </w:r>
      <w:proofErr w:type="spellStart"/>
      <w:r w:rsidRPr="005E6F7A">
        <w:t>eCPR</w:t>
      </w:r>
      <w:proofErr w:type="spellEnd"/>
      <w:r w:rsidRPr="005E6F7A">
        <w:t xml:space="preserve">) system to be named by </w:t>
      </w:r>
      <w:proofErr w:type="gramStart"/>
      <w:r w:rsidRPr="005E6F7A">
        <w:t>University</w:t>
      </w:r>
      <w:proofErr w:type="gramEnd"/>
      <w:r w:rsidRPr="005E6F7A">
        <w:t xml:space="preserve">. The software shall be a web-based </w:t>
      </w:r>
      <w:proofErr w:type="spellStart"/>
      <w:r w:rsidRPr="005E6F7A">
        <w:t>eCPR</w:t>
      </w:r>
      <w:proofErr w:type="spellEnd"/>
      <w:r w:rsidRPr="005E6F7A">
        <w:t xml:space="preserve"> system accessed by a web browser. CM/Contractor and each Subcontractor will be furnished a log-on identification and password to access University's reporting system. Use of the system may entail additional data entry of weekly payroll information</w:t>
      </w:r>
      <w:r w:rsidR="00FF102B">
        <w:t>, including, without limitation,</w:t>
      </w:r>
      <w:r w:rsidRPr="005E6F7A">
        <w:t xml:space="preserve"> employee identification, labor classification, total hours </w:t>
      </w:r>
      <w:proofErr w:type="gramStart"/>
      <w:r w:rsidRPr="005E6F7A">
        <w:t>worked</w:t>
      </w:r>
      <w:proofErr w:type="gramEnd"/>
      <w:r w:rsidRPr="005E6F7A">
        <w:t xml:space="preserve"> and hours worked on the project, wage and benefit rates paid, etc. The required software shall be used regardless of the ability to interface with </w:t>
      </w:r>
      <w:r w:rsidR="00543C0B" w:rsidRPr="00543C0B">
        <w:rPr>
          <w:highlight w:val="yellow"/>
        </w:rPr>
        <w:t>Design</w:t>
      </w:r>
      <w:r w:rsidR="00543C0B">
        <w:t xml:space="preserve"> </w:t>
      </w:r>
      <w:r w:rsidR="00B86879" w:rsidRPr="00C932C8">
        <w:rPr>
          <w:highlight w:val="yellow"/>
        </w:rPr>
        <w:t>Builder</w:t>
      </w:r>
      <w:r w:rsidRPr="005E6F7A">
        <w:t xml:space="preserve">'s or Subcontractor's payroll and accounting software or system.  On-line training in the use of the system will be available via the Internet. University may elect to schedule training classes in the use of the software and </w:t>
      </w:r>
      <w:r w:rsidR="00543C0B" w:rsidRPr="00543C0B">
        <w:rPr>
          <w:highlight w:val="yellow"/>
        </w:rPr>
        <w:t xml:space="preserve">Design </w:t>
      </w:r>
      <w:r w:rsidR="00B86879" w:rsidRPr="00543C0B">
        <w:rPr>
          <w:highlight w:val="yellow"/>
        </w:rPr>
        <w:t>B</w:t>
      </w:r>
      <w:r w:rsidR="00B86879" w:rsidRPr="00C932C8">
        <w:rPr>
          <w:highlight w:val="yellow"/>
        </w:rPr>
        <w:t>uilder</w:t>
      </w:r>
      <w:r w:rsidRPr="005E6F7A">
        <w:t xml:space="preserve"> shall have all necessary personnel attend and shall require attendance by all Subcontractors.</w:t>
      </w:r>
    </w:p>
    <w:p w14:paraId="161B05A3" w14:textId="77777777" w:rsidR="00985FB9" w:rsidRDefault="00985FB9" w:rsidP="00985FB9">
      <w:r w:rsidRPr="00985FB9">
        <w:tab/>
      </w:r>
    </w:p>
    <w:p w14:paraId="7A314F15" w14:textId="44A8ADA9" w:rsidR="00985FB9" w:rsidRPr="00985FB9" w:rsidRDefault="00985FB9" w:rsidP="008B436A">
      <w:pPr>
        <w:pStyle w:val="Heading2"/>
        <w:ind w:firstLine="720"/>
      </w:pPr>
      <w:r w:rsidRPr="00985FB9">
        <w:t>ADDITIONS TO ARTICLE 14.4 APPRENTICES</w:t>
      </w:r>
    </w:p>
    <w:p w14:paraId="50B3C9D9" w14:textId="45F49CFB" w:rsidR="00985FB9" w:rsidRPr="00985FB9" w:rsidRDefault="00985FB9" w:rsidP="00985FB9">
      <w:r w:rsidRPr="00985FB9">
        <w:t xml:space="preserve">14.4.8    </w:t>
      </w:r>
      <w:r w:rsidRPr="00543C0B">
        <w:rPr>
          <w:highlight w:val="yellow"/>
        </w:rPr>
        <w:t>Design</w:t>
      </w:r>
      <w:r w:rsidRPr="00985FB9">
        <w:t xml:space="preserve"> </w:t>
      </w:r>
      <w:r w:rsidRPr="00C932C8">
        <w:rPr>
          <w:highlight w:val="yellow"/>
        </w:rPr>
        <w:t>Builder</w:t>
      </w:r>
      <w:r w:rsidRPr="00985FB9">
        <w:t xml:space="preserve"> shall comply and shall ensure that all Subcontractors comply with the apprenticeship requirements set forth in 26 USC 45(b)(8) (the “Apprenticeship Requirements”).  Compliance with these sections is required by this Contract irrespective of whether the Work relates to a “qualified facility” under 26 USC 45(b).  The </w:t>
      </w:r>
      <w:r w:rsidRPr="00543C0B">
        <w:rPr>
          <w:highlight w:val="yellow"/>
        </w:rPr>
        <w:t>Design</w:t>
      </w:r>
      <w:r w:rsidRPr="00985FB9">
        <w:t xml:space="preserve"> </w:t>
      </w:r>
      <w:r w:rsidRPr="00C932C8">
        <w:rPr>
          <w:highlight w:val="yellow"/>
        </w:rPr>
        <w:t>Builder</w:t>
      </w:r>
      <w:r w:rsidRPr="00985FB9">
        <w:t xml:space="preserve"> shall, and shall ensure that all Subcontractors</w:t>
      </w:r>
      <w:r w:rsidR="00FF102B">
        <w:t>,</w:t>
      </w:r>
      <w:r w:rsidRPr="00985FB9">
        <w:t xml:space="preserve"> maintain and preserve sufficient records, including books of account or records for work performed by </w:t>
      </w:r>
      <w:r w:rsidRPr="00543C0B">
        <w:rPr>
          <w:highlight w:val="yellow"/>
        </w:rPr>
        <w:t>Design</w:t>
      </w:r>
      <w:r w:rsidRPr="00985FB9">
        <w:t xml:space="preserve"> </w:t>
      </w:r>
      <w:r w:rsidRPr="00C932C8">
        <w:rPr>
          <w:highlight w:val="yellow"/>
        </w:rPr>
        <w:t>Builder</w:t>
      </w:r>
      <w:r w:rsidRPr="00985FB9">
        <w:t xml:space="preserve">, the </w:t>
      </w:r>
      <w:proofErr w:type="gramStart"/>
      <w:r w:rsidRPr="00985FB9">
        <w:t>Subcontractors</w:t>
      </w:r>
      <w:proofErr w:type="gramEnd"/>
      <w:r w:rsidRPr="00985FB9">
        <w:t xml:space="preserve"> and their respective personnel, to establish that the Apprenticeship Requirements have been satisfied in accordance with the general recordkeeping requirements under Internal Revenue Code Section § 6001 and § 1.6001–1, et seq.  </w:t>
      </w:r>
      <w:r w:rsidRPr="00543C0B">
        <w:rPr>
          <w:highlight w:val="yellow"/>
        </w:rPr>
        <w:t>Design</w:t>
      </w:r>
      <w:r w:rsidRPr="00985FB9">
        <w:t xml:space="preserve"> </w:t>
      </w:r>
      <w:r w:rsidRPr="00C932C8">
        <w:rPr>
          <w:highlight w:val="yellow"/>
        </w:rPr>
        <w:t>Builder</w:t>
      </w:r>
      <w:r w:rsidRPr="00985FB9">
        <w:t xml:space="preserve"> shall comply with all reporting requirements designated by the Federal Government </w:t>
      </w:r>
      <w:proofErr w:type="gramStart"/>
      <w:r w:rsidRPr="00985FB9">
        <w:t>in order to</w:t>
      </w:r>
      <w:proofErr w:type="gramEnd"/>
      <w:r w:rsidRPr="00985FB9">
        <w:t xml:space="preserve"> receive any tax deductions related to these Apprenticeship Requirements.  These reporting requirements may be updated frequently by the IRS and </w:t>
      </w:r>
      <w:r w:rsidRPr="00985FB9">
        <w:lastRenderedPageBreak/>
        <w:t xml:space="preserve">Treasury Department, and it is Design Builder’s obligation to stay apprised and comply with all changes in reporting requirements.    </w:t>
      </w:r>
    </w:p>
    <w:p w14:paraId="1C535A88" w14:textId="3CEFD690" w:rsidR="00985FB9" w:rsidRDefault="00985FB9" w:rsidP="00985FB9">
      <w:r w:rsidRPr="00985FB9">
        <w:t xml:space="preserve">14.4.9    </w:t>
      </w:r>
      <w:r w:rsidRPr="00543C0B">
        <w:rPr>
          <w:highlight w:val="yellow"/>
        </w:rPr>
        <w:t>Design</w:t>
      </w:r>
      <w:r w:rsidRPr="00985FB9">
        <w:t xml:space="preserve"> </w:t>
      </w:r>
      <w:r w:rsidRPr="00C932C8">
        <w:rPr>
          <w:highlight w:val="yellow"/>
        </w:rPr>
        <w:t>Builder</w:t>
      </w:r>
      <w:r w:rsidRPr="00985FB9">
        <w:t xml:space="preserve"> shall cause all subcontracts to include the provision that all Subcontractors comply with the Apprenticeship Requirements.  </w:t>
      </w:r>
      <w:r w:rsidRPr="00543C0B">
        <w:rPr>
          <w:highlight w:val="yellow"/>
        </w:rPr>
        <w:t>Design</w:t>
      </w:r>
      <w:r w:rsidRPr="00985FB9">
        <w:t xml:space="preserve"> </w:t>
      </w:r>
      <w:r w:rsidRPr="00C932C8">
        <w:rPr>
          <w:highlight w:val="yellow"/>
        </w:rPr>
        <w:t>Builder</w:t>
      </w:r>
      <w:r w:rsidRPr="00985FB9">
        <w:t xml:space="preserve"> shall be responsible for all costs, fees</w:t>
      </w:r>
      <w:r w:rsidR="00FF102B">
        <w:t>,</w:t>
      </w:r>
      <w:r w:rsidRPr="00985FB9">
        <w:t xml:space="preserve"> and penalties associated with any failure to comply with the Apprenticeship Requirements.  The amount of this penalty shall be determined pursuant to 26 USC 45(b)(8)(D)(i)(II) and 26 USC 45(b)(8)(D)(iii).  Such amounts may be deducted from the Contract Sum or sought directly from the surety under its Performance Bond if there are insufficient funds remaining in the Contract Sum.  If </w:t>
      </w:r>
      <w:r w:rsidRPr="00543C0B">
        <w:rPr>
          <w:highlight w:val="yellow"/>
        </w:rPr>
        <w:t>Design</w:t>
      </w:r>
      <w:r w:rsidRPr="00985FB9">
        <w:t xml:space="preserve"> </w:t>
      </w:r>
      <w:r w:rsidRPr="00C932C8">
        <w:rPr>
          <w:highlight w:val="yellow"/>
        </w:rPr>
        <w:t>Builder</w:t>
      </w:r>
      <w:r w:rsidRPr="00985FB9">
        <w:t xml:space="preserve"> fails to pay such amount within 30 days following receipt of written notice from the University, the University may pay such amounts and pursue reimbursement from </w:t>
      </w:r>
      <w:r w:rsidRPr="00543C0B">
        <w:rPr>
          <w:highlight w:val="yellow"/>
        </w:rPr>
        <w:t>Design</w:t>
      </w:r>
      <w:r w:rsidRPr="00985FB9">
        <w:t xml:space="preserve"> </w:t>
      </w:r>
      <w:r w:rsidRPr="00C932C8">
        <w:rPr>
          <w:highlight w:val="yellow"/>
        </w:rPr>
        <w:t>Builder</w:t>
      </w:r>
      <w:r w:rsidRPr="00985FB9">
        <w:t xml:space="preserve"> for such amounts, plus interest and expenses.  To the extent that </w:t>
      </w:r>
      <w:r w:rsidRPr="00543C0B">
        <w:rPr>
          <w:highlight w:val="yellow"/>
        </w:rPr>
        <w:t>Design</w:t>
      </w:r>
      <w:r w:rsidRPr="00985FB9">
        <w:t xml:space="preserve"> </w:t>
      </w:r>
      <w:r w:rsidRPr="00C932C8">
        <w:rPr>
          <w:highlight w:val="yellow"/>
        </w:rPr>
        <w:t>Builder</w:t>
      </w:r>
      <w:r w:rsidRPr="00985FB9">
        <w:t xml:space="preserve"> seeks to satisfy the Apprenticeship Requirements based on the good faith efforts standard set forth in 26 USC 45(B)(8)(D)(ii) (the (“Good Faith Efforts Exception”), </w:t>
      </w:r>
      <w:r w:rsidRPr="00543C0B">
        <w:rPr>
          <w:highlight w:val="yellow"/>
        </w:rPr>
        <w:t>Design B</w:t>
      </w:r>
      <w:r w:rsidRPr="00C932C8">
        <w:rPr>
          <w:highlight w:val="yellow"/>
        </w:rPr>
        <w:t>uilder</w:t>
      </w:r>
      <w:r w:rsidRPr="00985FB9">
        <w:t xml:space="preserve"> shall be responsible for demonstrating to the Federal Department of Labor that the exception is applicable.  </w:t>
      </w:r>
      <w:r w:rsidRPr="00543C0B">
        <w:rPr>
          <w:highlight w:val="yellow"/>
        </w:rPr>
        <w:t>Design B</w:t>
      </w:r>
      <w:r w:rsidRPr="00C932C8">
        <w:rPr>
          <w:highlight w:val="yellow"/>
        </w:rPr>
        <w:t>uilder</w:t>
      </w:r>
      <w:r w:rsidRPr="00985FB9">
        <w:t xml:space="preserve"> is responsible for all costs and expenses associated with demonstrating compliance with the Good Faith Efforts Exception.  </w:t>
      </w:r>
      <w:r w:rsidRPr="00543C0B">
        <w:rPr>
          <w:highlight w:val="yellow"/>
        </w:rPr>
        <w:t>Design B</w:t>
      </w:r>
      <w:r w:rsidRPr="00C932C8">
        <w:rPr>
          <w:highlight w:val="yellow"/>
        </w:rPr>
        <w:t>uilder</w:t>
      </w:r>
      <w:r w:rsidRPr="00985FB9">
        <w:t xml:space="preserve"> shall be responsible for any costs, fees and penalties incurred by the University associated with such efforts.  In the event </w:t>
      </w:r>
      <w:r w:rsidRPr="00543C0B">
        <w:rPr>
          <w:highlight w:val="yellow"/>
        </w:rPr>
        <w:t>Design B</w:t>
      </w:r>
      <w:r w:rsidRPr="00C932C8">
        <w:rPr>
          <w:highlight w:val="yellow"/>
        </w:rPr>
        <w:t>uilder</w:t>
      </w:r>
      <w:r w:rsidRPr="00985FB9">
        <w:t xml:space="preserve"> has not received a final determination from the Department of Labor that the Good Faith Efforts Exception is applicable within 120 days following a determination that the Apprenticeship Requirements were not satisfied, the University may pay any costs, fees</w:t>
      </w:r>
      <w:r w:rsidR="00FF102B">
        <w:t>,</w:t>
      </w:r>
      <w:r w:rsidRPr="00985FB9">
        <w:t xml:space="preserve"> and penalties necessary to satisfy the Apprenticeship Requirements and pursue reimbursement from </w:t>
      </w:r>
      <w:r w:rsidRPr="00543C0B">
        <w:rPr>
          <w:highlight w:val="yellow"/>
        </w:rPr>
        <w:t>Design Builder</w:t>
      </w:r>
      <w:r w:rsidRPr="00985FB9">
        <w:t xml:space="preserve"> for such amounts, plus interest and expenses.</w:t>
      </w:r>
    </w:p>
    <w:p w14:paraId="642EB0EF" w14:textId="77777777" w:rsidR="00DB2765" w:rsidRDefault="00DB2765" w:rsidP="00985FB9"/>
    <w:p w14:paraId="262D1E12" w14:textId="52B33D21" w:rsidR="00DB2765" w:rsidRPr="00C21BC4" w:rsidRDefault="00DB2765" w:rsidP="004C45C2">
      <w:pPr>
        <w:pStyle w:val="Heading1"/>
        <w:spacing w:line="360" w:lineRule="auto"/>
      </w:pPr>
      <w:r>
        <w:t>Contract Exhibit</w:t>
      </w:r>
    </w:p>
    <w:p w14:paraId="2BE74CEA" w14:textId="46DDA03B" w:rsidR="00DB2765" w:rsidRDefault="00DB2765" w:rsidP="00DB2765">
      <w:pPr>
        <w:rPr>
          <w:i/>
          <w:color w:val="1F497D" w:themeColor="text2"/>
          <w:sz w:val="20"/>
          <w:szCs w:val="20"/>
        </w:rPr>
      </w:pPr>
      <w:r w:rsidRPr="00D457F6">
        <w:rPr>
          <w:i/>
          <w:color w:val="1F497D" w:themeColor="text2"/>
          <w:sz w:val="20"/>
          <w:szCs w:val="20"/>
        </w:rPr>
        <w:t xml:space="preserve">For the </w:t>
      </w:r>
      <w:r w:rsidRPr="00D457F6">
        <w:rPr>
          <w:b/>
          <w:i/>
          <w:color w:val="1F497D" w:themeColor="text2"/>
          <w:sz w:val="20"/>
          <w:szCs w:val="20"/>
        </w:rPr>
        <w:t>Long Form</w:t>
      </w:r>
      <w:r w:rsidRPr="00D457F6">
        <w:rPr>
          <w:i/>
          <w:color w:val="1F497D" w:themeColor="text2"/>
          <w:sz w:val="20"/>
          <w:szCs w:val="20"/>
        </w:rPr>
        <w:t xml:space="preserve">, </w:t>
      </w:r>
      <w:r w:rsidRPr="00D457F6">
        <w:rPr>
          <w:b/>
          <w:i/>
          <w:color w:val="1F497D" w:themeColor="text2"/>
          <w:sz w:val="20"/>
          <w:szCs w:val="20"/>
        </w:rPr>
        <w:t>CM at Risk</w:t>
      </w:r>
      <w:r w:rsidRPr="00D457F6">
        <w:rPr>
          <w:i/>
          <w:color w:val="1F497D" w:themeColor="text2"/>
          <w:sz w:val="20"/>
          <w:szCs w:val="20"/>
        </w:rPr>
        <w:t xml:space="preserve">, </w:t>
      </w:r>
      <w:r w:rsidRPr="001763C4">
        <w:rPr>
          <w:b/>
          <w:bCs/>
          <w:i/>
          <w:color w:val="1F497D" w:themeColor="text2"/>
          <w:sz w:val="20"/>
          <w:szCs w:val="20"/>
        </w:rPr>
        <w:t>Brief Form</w:t>
      </w:r>
      <w:r>
        <w:rPr>
          <w:b/>
          <w:bCs/>
          <w:i/>
          <w:color w:val="1F497D" w:themeColor="text2"/>
          <w:sz w:val="20"/>
          <w:szCs w:val="20"/>
        </w:rPr>
        <w:t>, Design Build,</w:t>
      </w:r>
      <w:r w:rsidRPr="001763C4">
        <w:rPr>
          <w:b/>
          <w:i/>
          <w:color w:val="1F497D" w:themeColor="text2"/>
          <w:sz w:val="20"/>
          <w:szCs w:val="20"/>
        </w:rPr>
        <w:t xml:space="preserve"> </w:t>
      </w:r>
      <w:r w:rsidRPr="00D457F6">
        <w:rPr>
          <w:b/>
          <w:i/>
          <w:color w:val="1F497D" w:themeColor="text2"/>
          <w:sz w:val="20"/>
          <w:szCs w:val="20"/>
        </w:rPr>
        <w:t>Multiple Prime</w:t>
      </w:r>
      <w:r w:rsidRPr="00D457F6">
        <w:rPr>
          <w:i/>
          <w:color w:val="1F497D" w:themeColor="text2"/>
          <w:sz w:val="20"/>
          <w:szCs w:val="20"/>
        </w:rPr>
        <w:t xml:space="preserve">, </w:t>
      </w:r>
      <w:r>
        <w:rPr>
          <w:b/>
          <w:bCs/>
          <w:i/>
          <w:color w:val="1F497D" w:themeColor="text2"/>
          <w:sz w:val="20"/>
          <w:szCs w:val="20"/>
        </w:rPr>
        <w:t xml:space="preserve">Informal Form, Brief Design Build, and Energy Savings Brief Design Build </w:t>
      </w:r>
      <w:r w:rsidRPr="00D457F6">
        <w:rPr>
          <w:i/>
          <w:color w:val="1F497D" w:themeColor="text2"/>
          <w:sz w:val="20"/>
          <w:szCs w:val="20"/>
        </w:rPr>
        <w:t>delivery methods</w:t>
      </w:r>
      <w:r w:rsidRPr="00D31712">
        <w:rPr>
          <w:i/>
          <w:color w:val="1F497D" w:themeColor="text2"/>
          <w:sz w:val="20"/>
          <w:szCs w:val="20"/>
        </w:rPr>
        <w:t xml:space="preserve">, the </w:t>
      </w:r>
      <w:r w:rsidR="004255DC" w:rsidRPr="004255DC">
        <w:rPr>
          <w:i/>
          <w:color w:val="1F497D" w:themeColor="text2"/>
          <w:sz w:val="20"/>
          <w:szCs w:val="20"/>
        </w:rPr>
        <w:t>Inflation Reduction Act Guidance</w:t>
      </w:r>
      <w:r w:rsidR="004255DC">
        <w:rPr>
          <w:i/>
          <w:color w:val="1F497D" w:themeColor="text2"/>
          <w:sz w:val="20"/>
          <w:szCs w:val="20"/>
        </w:rPr>
        <w:t xml:space="preserve"> exhibit</w:t>
      </w:r>
      <w:r w:rsidRPr="00D31712">
        <w:rPr>
          <w:i/>
          <w:color w:val="1F497D" w:themeColor="text2"/>
          <w:sz w:val="20"/>
          <w:szCs w:val="20"/>
        </w:rPr>
        <w:t xml:space="preserve"> shall be </w:t>
      </w:r>
      <w:r w:rsidRPr="00D31712">
        <w:rPr>
          <w:b/>
          <w:i/>
          <w:color w:val="1F497D" w:themeColor="text2"/>
          <w:sz w:val="20"/>
          <w:szCs w:val="20"/>
          <w:u w:val="single"/>
        </w:rPr>
        <w:t>added</w:t>
      </w:r>
      <w:r w:rsidRPr="00D31712">
        <w:rPr>
          <w:i/>
          <w:color w:val="1F497D" w:themeColor="text2"/>
          <w:sz w:val="20"/>
          <w:szCs w:val="20"/>
        </w:rPr>
        <w:t xml:space="preserve"> </w:t>
      </w:r>
      <w:r>
        <w:rPr>
          <w:i/>
          <w:color w:val="1F497D" w:themeColor="text2"/>
          <w:sz w:val="20"/>
          <w:szCs w:val="20"/>
        </w:rPr>
        <w:t>as a contract exhibit.</w:t>
      </w:r>
    </w:p>
    <w:p w14:paraId="64943E76" w14:textId="77777777" w:rsidR="00DB2765" w:rsidRPr="00985FB9" w:rsidRDefault="00DB2765" w:rsidP="00985FB9"/>
    <w:sectPr w:rsidR="00DB2765" w:rsidRPr="00985FB9" w:rsidSect="00DA4D6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64177" w14:textId="77777777" w:rsidR="00DA4D67" w:rsidRDefault="00DA4D67" w:rsidP="00A64D7C">
      <w:pPr>
        <w:spacing w:after="0" w:line="240" w:lineRule="auto"/>
      </w:pPr>
      <w:r>
        <w:separator/>
      </w:r>
    </w:p>
  </w:endnote>
  <w:endnote w:type="continuationSeparator" w:id="0">
    <w:p w14:paraId="36672CAF" w14:textId="77777777" w:rsidR="00DA4D67" w:rsidRDefault="00DA4D67" w:rsidP="00A64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BSN Swiss Roman 10pt">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AD02C" w14:textId="6BF4E24E" w:rsidR="002576B8" w:rsidRDefault="002576B8">
    <w:pPr>
      <w:pStyle w:val="Footer"/>
      <w:pBdr>
        <w:top w:val="thinThickSmallGap" w:sz="24" w:space="1" w:color="622423" w:themeColor="accent2" w:themeShade="7F"/>
      </w:pBdr>
    </w:pPr>
    <w:r>
      <w:rPr>
        <w:rFonts w:asciiTheme="majorHAnsi" w:hAnsiTheme="majorHAnsi"/>
      </w:rPr>
      <w:t>University of California</w:t>
    </w:r>
    <w:r>
      <w:rPr>
        <w:rFonts w:asciiTheme="majorHAnsi" w:hAnsiTheme="majorHAnsi"/>
      </w:rPr>
      <w:tab/>
    </w:r>
    <w:r w:rsidR="00154F67">
      <w:rPr>
        <w:rFonts w:asciiTheme="majorHAnsi" w:hAnsiTheme="majorHAnsi"/>
      </w:rPr>
      <w:t>IRA</w:t>
    </w:r>
    <w:r w:rsidR="00BD1F63">
      <w:rPr>
        <w:rFonts w:asciiTheme="majorHAnsi" w:hAnsiTheme="majorHAnsi"/>
      </w:rPr>
      <w:t xml:space="preserve"> Funding</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450D6C" w:rsidRPr="00450D6C">
      <w:rPr>
        <w:rFonts w:asciiTheme="majorHAnsi" w:hAnsiTheme="majorHAnsi"/>
        <w:noProof/>
      </w:rPr>
      <w:t>9</w:t>
    </w:r>
    <w:r>
      <w:fldChar w:fldCharType="end"/>
    </w:r>
  </w:p>
  <w:p w14:paraId="5704D05F" w14:textId="7D60BCA1" w:rsidR="002576B8" w:rsidRDefault="00BD1F63">
    <w:pPr>
      <w:pStyle w:val="Footer"/>
    </w:pPr>
    <w:r>
      <w:rPr>
        <w:rFonts w:asciiTheme="majorHAnsi" w:hAnsiTheme="majorHAnsi"/>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5A8CC" w14:textId="77777777" w:rsidR="00DA4D67" w:rsidRDefault="00DA4D67" w:rsidP="00A64D7C">
      <w:pPr>
        <w:spacing w:after="0" w:line="240" w:lineRule="auto"/>
      </w:pPr>
      <w:r>
        <w:separator/>
      </w:r>
    </w:p>
  </w:footnote>
  <w:footnote w:type="continuationSeparator" w:id="0">
    <w:p w14:paraId="40EEA6B3" w14:textId="77777777" w:rsidR="00DA4D67" w:rsidRDefault="00DA4D67" w:rsidP="00A64D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256"/>
    <w:multiLevelType w:val="hybridMultilevel"/>
    <w:tmpl w:val="EEF00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E5C36"/>
    <w:multiLevelType w:val="hybridMultilevel"/>
    <w:tmpl w:val="F982B7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81DF1"/>
    <w:multiLevelType w:val="hybridMultilevel"/>
    <w:tmpl w:val="CD7EF62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F514A41"/>
    <w:multiLevelType w:val="hybridMultilevel"/>
    <w:tmpl w:val="4DBE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53E81"/>
    <w:multiLevelType w:val="hybridMultilevel"/>
    <w:tmpl w:val="4824EA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424171"/>
    <w:multiLevelType w:val="hybridMultilevel"/>
    <w:tmpl w:val="B85AF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BD0700"/>
    <w:multiLevelType w:val="hybridMultilevel"/>
    <w:tmpl w:val="FE48D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4D6149"/>
    <w:multiLevelType w:val="hybridMultilevel"/>
    <w:tmpl w:val="8C307D48"/>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8" w15:restartNumberingAfterBreak="0">
    <w:nsid w:val="67C00638"/>
    <w:multiLevelType w:val="hybridMultilevel"/>
    <w:tmpl w:val="F4449C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AB86DB1"/>
    <w:multiLevelType w:val="hybridMultilevel"/>
    <w:tmpl w:val="E1C6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4A3729"/>
    <w:multiLevelType w:val="hybridMultilevel"/>
    <w:tmpl w:val="A84AB5F0"/>
    <w:lvl w:ilvl="0" w:tplc="64207AF2">
      <w:start w:val="1"/>
      <w:numFmt w:val="decimal"/>
      <w:lvlText w:val="%1."/>
      <w:lvlJc w:val="left"/>
      <w:pPr>
        <w:ind w:left="1020" w:hanging="360"/>
      </w:pPr>
    </w:lvl>
    <w:lvl w:ilvl="1" w:tplc="0C52FA8A">
      <w:start w:val="1"/>
      <w:numFmt w:val="decimal"/>
      <w:lvlText w:val="%2."/>
      <w:lvlJc w:val="left"/>
      <w:pPr>
        <w:ind w:left="1020" w:hanging="360"/>
      </w:pPr>
    </w:lvl>
    <w:lvl w:ilvl="2" w:tplc="1694ADE0">
      <w:start w:val="1"/>
      <w:numFmt w:val="decimal"/>
      <w:lvlText w:val="%3."/>
      <w:lvlJc w:val="left"/>
      <w:pPr>
        <w:ind w:left="1020" w:hanging="360"/>
      </w:pPr>
    </w:lvl>
    <w:lvl w:ilvl="3" w:tplc="21483752">
      <w:start w:val="1"/>
      <w:numFmt w:val="decimal"/>
      <w:lvlText w:val="%4."/>
      <w:lvlJc w:val="left"/>
      <w:pPr>
        <w:ind w:left="1020" w:hanging="360"/>
      </w:pPr>
    </w:lvl>
    <w:lvl w:ilvl="4" w:tplc="B05AE128">
      <w:start w:val="1"/>
      <w:numFmt w:val="decimal"/>
      <w:lvlText w:val="%5."/>
      <w:lvlJc w:val="left"/>
      <w:pPr>
        <w:ind w:left="1020" w:hanging="360"/>
      </w:pPr>
    </w:lvl>
    <w:lvl w:ilvl="5" w:tplc="7F7A036A">
      <w:start w:val="1"/>
      <w:numFmt w:val="decimal"/>
      <w:lvlText w:val="%6."/>
      <w:lvlJc w:val="left"/>
      <w:pPr>
        <w:ind w:left="1020" w:hanging="360"/>
      </w:pPr>
    </w:lvl>
    <w:lvl w:ilvl="6" w:tplc="5E98681A">
      <w:start w:val="1"/>
      <w:numFmt w:val="decimal"/>
      <w:lvlText w:val="%7."/>
      <w:lvlJc w:val="left"/>
      <w:pPr>
        <w:ind w:left="1020" w:hanging="360"/>
      </w:pPr>
    </w:lvl>
    <w:lvl w:ilvl="7" w:tplc="3476ED00">
      <w:start w:val="1"/>
      <w:numFmt w:val="decimal"/>
      <w:lvlText w:val="%8."/>
      <w:lvlJc w:val="left"/>
      <w:pPr>
        <w:ind w:left="1020" w:hanging="360"/>
      </w:pPr>
    </w:lvl>
    <w:lvl w:ilvl="8" w:tplc="A8C2BE52">
      <w:start w:val="1"/>
      <w:numFmt w:val="decimal"/>
      <w:lvlText w:val="%9."/>
      <w:lvlJc w:val="left"/>
      <w:pPr>
        <w:ind w:left="1020" w:hanging="360"/>
      </w:pPr>
    </w:lvl>
  </w:abstractNum>
  <w:abstractNum w:abstractNumId="11" w15:restartNumberingAfterBreak="0">
    <w:nsid w:val="6D2A3C9C"/>
    <w:multiLevelType w:val="hybridMultilevel"/>
    <w:tmpl w:val="D1A40C82"/>
    <w:lvl w:ilvl="0" w:tplc="0409000F">
      <w:start w:val="1"/>
      <w:numFmt w:val="decimal"/>
      <w:lvlText w:val="%1."/>
      <w:lvlJc w:val="left"/>
      <w:pPr>
        <w:ind w:left="720" w:hanging="360"/>
      </w:pPr>
      <w:rPr>
        <w:rFonts w:hint="default"/>
      </w:rPr>
    </w:lvl>
    <w:lvl w:ilvl="1" w:tplc="52FE2E00">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052BF8"/>
    <w:multiLevelType w:val="hybridMultilevel"/>
    <w:tmpl w:val="226CEE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9B31DE1"/>
    <w:multiLevelType w:val="hybridMultilevel"/>
    <w:tmpl w:val="E2B8680E"/>
    <w:lvl w:ilvl="0" w:tplc="4AC4A306">
      <w:start w:val="1"/>
      <w:numFmt w:val="decimal"/>
      <w:lvlText w:val="%1."/>
      <w:lvlJc w:val="left"/>
      <w:pPr>
        <w:ind w:left="1020" w:hanging="360"/>
      </w:pPr>
    </w:lvl>
    <w:lvl w:ilvl="1" w:tplc="A84CFA5A">
      <w:start w:val="1"/>
      <w:numFmt w:val="decimal"/>
      <w:lvlText w:val="%2."/>
      <w:lvlJc w:val="left"/>
      <w:pPr>
        <w:ind w:left="1020" w:hanging="360"/>
      </w:pPr>
    </w:lvl>
    <w:lvl w:ilvl="2" w:tplc="FE98BE72">
      <w:start w:val="1"/>
      <w:numFmt w:val="decimal"/>
      <w:lvlText w:val="%3."/>
      <w:lvlJc w:val="left"/>
      <w:pPr>
        <w:ind w:left="1020" w:hanging="360"/>
      </w:pPr>
    </w:lvl>
    <w:lvl w:ilvl="3" w:tplc="CA70E3B6">
      <w:start w:val="1"/>
      <w:numFmt w:val="decimal"/>
      <w:lvlText w:val="%4."/>
      <w:lvlJc w:val="left"/>
      <w:pPr>
        <w:ind w:left="1020" w:hanging="360"/>
      </w:pPr>
    </w:lvl>
    <w:lvl w:ilvl="4" w:tplc="7690F93E">
      <w:start w:val="1"/>
      <w:numFmt w:val="decimal"/>
      <w:lvlText w:val="%5."/>
      <w:lvlJc w:val="left"/>
      <w:pPr>
        <w:ind w:left="1020" w:hanging="360"/>
      </w:pPr>
    </w:lvl>
    <w:lvl w:ilvl="5" w:tplc="4AE6CCCC">
      <w:start w:val="1"/>
      <w:numFmt w:val="decimal"/>
      <w:lvlText w:val="%6."/>
      <w:lvlJc w:val="left"/>
      <w:pPr>
        <w:ind w:left="1020" w:hanging="360"/>
      </w:pPr>
    </w:lvl>
    <w:lvl w:ilvl="6" w:tplc="273A35EA">
      <w:start w:val="1"/>
      <w:numFmt w:val="decimal"/>
      <w:lvlText w:val="%7."/>
      <w:lvlJc w:val="left"/>
      <w:pPr>
        <w:ind w:left="1020" w:hanging="360"/>
      </w:pPr>
    </w:lvl>
    <w:lvl w:ilvl="7" w:tplc="C900AC36">
      <w:start w:val="1"/>
      <w:numFmt w:val="decimal"/>
      <w:lvlText w:val="%8."/>
      <w:lvlJc w:val="left"/>
      <w:pPr>
        <w:ind w:left="1020" w:hanging="360"/>
      </w:pPr>
    </w:lvl>
    <w:lvl w:ilvl="8" w:tplc="2F763A3E">
      <w:start w:val="1"/>
      <w:numFmt w:val="decimal"/>
      <w:lvlText w:val="%9."/>
      <w:lvlJc w:val="left"/>
      <w:pPr>
        <w:ind w:left="1020" w:hanging="360"/>
      </w:pPr>
    </w:lvl>
  </w:abstractNum>
  <w:abstractNum w:abstractNumId="14" w15:restartNumberingAfterBreak="0">
    <w:nsid w:val="7A804C0F"/>
    <w:multiLevelType w:val="hybridMultilevel"/>
    <w:tmpl w:val="584848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B430E27"/>
    <w:multiLevelType w:val="hybridMultilevel"/>
    <w:tmpl w:val="35BE28FA"/>
    <w:lvl w:ilvl="0" w:tplc="4CCA34DE">
      <w:start w:val="1"/>
      <w:numFmt w:val="decimal"/>
      <w:lvlText w:val="%1."/>
      <w:lvlJc w:val="left"/>
      <w:pPr>
        <w:ind w:left="1020" w:hanging="360"/>
      </w:pPr>
    </w:lvl>
    <w:lvl w:ilvl="1" w:tplc="87E0399A">
      <w:start w:val="1"/>
      <w:numFmt w:val="decimal"/>
      <w:lvlText w:val="%2."/>
      <w:lvlJc w:val="left"/>
      <w:pPr>
        <w:ind w:left="1020" w:hanging="360"/>
      </w:pPr>
    </w:lvl>
    <w:lvl w:ilvl="2" w:tplc="445E3CE0">
      <w:start w:val="1"/>
      <w:numFmt w:val="decimal"/>
      <w:lvlText w:val="%3."/>
      <w:lvlJc w:val="left"/>
      <w:pPr>
        <w:ind w:left="1020" w:hanging="360"/>
      </w:pPr>
    </w:lvl>
    <w:lvl w:ilvl="3" w:tplc="B942CEBE">
      <w:start w:val="1"/>
      <w:numFmt w:val="decimal"/>
      <w:lvlText w:val="%4."/>
      <w:lvlJc w:val="left"/>
      <w:pPr>
        <w:ind w:left="1020" w:hanging="360"/>
      </w:pPr>
    </w:lvl>
    <w:lvl w:ilvl="4" w:tplc="FE24696C">
      <w:start w:val="1"/>
      <w:numFmt w:val="decimal"/>
      <w:lvlText w:val="%5."/>
      <w:lvlJc w:val="left"/>
      <w:pPr>
        <w:ind w:left="1020" w:hanging="360"/>
      </w:pPr>
    </w:lvl>
    <w:lvl w:ilvl="5" w:tplc="F43C5C24">
      <w:start w:val="1"/>
      <w:numFmt w:val="decimal"/>
      <w:lvlText w:val="%6."/>
      <w:lvlJc w:val="left"/>
      <w:pPr>
        <w:ind w:left="1020" w:hanging="360"/>
      </w:pPr>
    </w:lvl>
    <w:lvl w:ilvl="6" w:tplc="425C450A">
      <w:start w:val="1"/>
      <w:numFmt w:val="decimal"/>
      <w:lvlText w:val="%7."/>
      <w:lvlJc w:val="left"/>
      <w:pPr>
        <w:ind w:left="1020" w:hanging="360"/>
      </w:pPr>
    </w:lvl>
    <w:lvl w:ilvl="7" w:tplc="136A2934">
      <w:start w:val="1"/>
      <w:numFmt w:val="decimal"/>
      <w:lvlText w:val="%8."/>
      <w:lvlJc w:val="left"/>
      <w:pPr>
        <w:ind w:left="1020" w:hanging="360"/>
      </w:pPr>
    </w:lvl>
    <w:lvl w:ilvl="8" w:tplc="FBB4E89A">
      <w:start w:val="1"/>
      <w:numFmt w:val="decimal"/>
      <w:lvlText w:val="%9."/>
      <w:lvlJc w:val="left"/>
      <w:pPr>
        <w:ind w:left="1020" w:hanging="360"/>
      </w:pPr>
    </w:lvl>
  </w:abstractNum>
  <w:abstractNum w:abstractNumId="16" w15:restartNumberingAfterBreak="0">
    <w:nsid w:val="7CAA5ABB"/>
    <w:multiLevelType w:val="hybridMultilevel"/>
    <w:tmpl w:val="01DA6D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81801253">
    <w:abstractNumId w:val="8"/>
  </w:num>
  <w:num w:numId="2" w16cid:durableId="1166633240">
    <w:abstractNumId w:val="3"/>
  </w:num>
  <w:num w:numId="3" w16cid:durableId="1303578731">
    <w:abstractNumId w:val="2"/>
  </w:num>
  <w:num w:numId="4" w16cid:durableId="2004509756">
    <w:abstractNumId w:val="6"/>
  </w:num>
  <w:num w:numId="5" w16cid:durableId="39214289">
    <w:abstractNumId w:val="1"/>
  </w:num>
  <w:num w:numId="6" w16cid:durableId="1760249957">
    <w:abstractNumId w:val="0"/>
  </w:num>
  <w:num w:numId="7" w16cid:durableId="867722793">
    <w:abstractNumId w:val="7"/>
  </w:num>
  <w:num w:numId="8" w16cid:durableId="1693535573">
    <w:abstractNumId w:val="14"/>
  </w:num>
  <w:num w:numId="9" w16cid:durableId="235436135">
    <w:abstractNumId w:val="16"/>
  </w:num>
  <w:num w:numId="10" w16cid:durableId="147020648">
    <w:abstractNumId w:val="12"/>
  </w:num>
  <w:num w:numId="11" w16cid:durableId="801001178">
    <w:abstractNumId w:val="5"/>
  </w:num>
  <w:num w:numId="12" w16cid:durableId="44447759">
    <w:abstractNumId w:val="9"/>
  </w:num>
  <w:num w:numId="13" w16cid:durableId="1777092258">
    <w:abstractNumId w:val="4"/>
  </w:num>
  <w:num w:numId="14" w16cid:durableId="1127888827">
    <w:abstractNumId w:val="11"/>
  </w:num>
  <w:num w:numId="15" w16cid:durableId="1622493318">
    <w:abstractNumId w:val="13"/>
  </w:num>
  <w:num w:numId="16" w16cid:durableId="1684428505">
    <w:abstractNumId w:val="10"/>
  </w:num>
  <w:num w:numId="17" w16cid:durableId="184609205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7B6"/>
    <w:rsid w:val="00003733"/>
    <w:rsid w:val="000050AE"/>
    <w:rsid w:val="00026116"/>
    <w:rsid w:val="00047274"/>
    <w:rsid w:val="00051BBF"/>
    <w:rsid w:val="00054625"/>
    <w:rsid w:val="00062C4A"/>
    <w:rsid w:val="00067E58"/>
    <w:rsid w:val="000707E3"/>
    <w:rsid w:val="000827B6"/>
    <w:rsid w:val="000915BC"/>
    <w:rsid w:val="000968B0"/>
    <w:rsid w:val="000A2FF1"/>
    <w:rsid w:val="000A49C6"/>
    <w:rsid w:val="000B1AC2"/>
    <w:rsid w:val="000C1E21"/>
    <w:rsid w:val="000C6D6C"/>
    <w:rsid w:val="000D2388"/>
    <w:rsid w:val="000E53AF"/>
    <w:rsid w:val="000E5F8A"/>
    <w:rsid w:val="000F3E2A"/>
    <w:rsid w:val="000F40B0"/>
    <w:rsid w:val="000F506E"/>
    <w:rsid w:val="0010671B"/>
    <w:rsid w:val="001200CA"/>
    <w:rsid w:val="00120A76"/>
    <w:rsid w:val="001214DC"/>
    <w:rsid w:val="00154F67"/>
    <w:rsid w:val="0017322E"/>
    <w:rsid w:val="001763C4"/>
    <w:rsid w:val="00176746"/>
    <w:rsid w:val="00176DF8"/>
    <w:rsid w:val="00180945"/>
    <w:rsid w:val="0019393C"/>
    <w:rsid w:val="00194A3A"/>
    <w:rsid w:val="001A3254"/>
    <w:rsid w:val="001A42BD"/>
    <w:rsid w:val="001A55C1"/>
    <w:rsid w:val="001B10E4"/>
    <w:rsid w:val="001B3F07"/>
    <w:rsid w:val="001B6A79"/>
    <w:rsid w:val="001C0633"/>
    <w:rsid w:val="001C2AB2"/>
    <w:rsid w:val="001C2C79"/>
    <w:rsid w:val="001E483B"/>
    <w:rsid w:val="001E65E2"/>
    <w:rsid w:val="002039B2"/>
    <w:rsid w:val="00211124"/>
    <w:rsid w:val="002112C4"/>
    <w:rsid w:val="00216398"/>
    <w:rsid w:val="00223A46"/>
    <w:rsid w:val="002576B8"/>
    <w:rsid w:val="00273573"/>
    <w:rsid w:val="00274633"/>
    <w:rsid w:val="00280CAF"/>
    <w:rsid w:val="00286115"/>
    <w:rsid w:val="002A776D"/>
    <w:rsid w:val="002B175C"/>
    <w:rsid w:val="002C029B"/>
    <w:rsid w:val="002C54AF"/>
    <w:rsid w:val="002D0CB1"/>
    <w:rsid w:val="002E1731"/>
    <w:rsid w:val="002E5B8D"/>
    <w:rsid w:val="002F14CB"/>
    <w:rsid w:val="002F240C"/>
    <w:rsid w:val="002F6D64"/>
    <w:rsid w:val="002F7AB5"/>
    <w:rsid w:val="00302C65"/>
    <w:rsid w:val="003172A3"/>
    <w:rsid w:val="003207D3"/>
    <w:rsid w:val="0033581D"/>
    <w:rsid w:val="003412DB"/>
    <w:rsid w:val="003460DA"/>
    <w:rsid w:val="00347ADF"/>
    <w:rsid w:val="003518EB"/>
    <w:rsid w:val="00363CD2"/>
    <w:rsid w:val="003653B5"/>
    <w:rsid w:val="00365808"/>
    <w:rsid w:val="00384F3C"/>
    <w:rsid w:val="00390B5E"/>
    <w:rsid w:val="003A7A96"/>
    <w:rsid w:val="003C09DF"/>
    <w:rsid w:val="003C2D61"/>
    <w:rsid w:val="003D527A"/>
    <w:rsid w:val="003F180B"/>
    <w:rsid w:val="003F2358"/>
    <w:rsid w:val="0040076F"/>
    <w:rsid w:val="00403E63"/>
    <w:rsid w:val="004255DC"/>
    <w:rsid w:val="0043078A"/>
    <w:rsid w:val="00430B96"/>
    <w:rsid w:val="00441F05"/>
    <w:rsid w:val="00450D6C"/>
    <w:rsid w:val="00457190"/>
    <w:rsid w:val="0049066A"/>
    <w:rsid w:val="004929D9"/>
    <w:rsid w:val="00492E1A"/>
    <w:rsid w:val="004C01F2"/>
    <w:rsid w:val="004C06A5"/>
    <w:rsid w:val="004C45C2"/>
    <w:rsid w:val="004F1C09"/>
    <w:rsid w:val="004F458C"/>
    <w:rsid w:val="00504FD7"/>
    <w:rsid w:val="00511943"/>
    <w:rsid w:val="005304C6"/>
    <w:rsid w:val="005407AA"/>
    <w:rsid w:val="00543317"/>
    <w:rsid w:val="00543C0B"/>
    <w:rsid w:val="005A3D1A"/>
    <w:rsid w:val="005B2996"/>
    <w:rsid w:val="005B6D55"/>
    <w:rsid w:val="005B7F15"/>
    <w:rsid w:val="005C149E"/>
    <w:rsid w:val="005D7D91"/>
    <w:rsid w:val="005E5672"/>
    <w:rsid w:val="005E6F7A"/>
    <w:rsid w:val="005F75A5"/>
    <w:rsid w:val="0062095D"/>
    <w:rsid w:val="00623CDE"/>
    <w:rsid w:val="00630C4F"/>
    <w:rsid w:val="00631C5D"/>
    <w:rsid w:val="006402CF"/>
    <w:rsid w:val="006451C9"/>
    <w:rsid w:val="00650306"/>
    <w:rsid w:val="006719CF"/>
    <w:rsid w:val="00687AD8"/>
    <w:rsid w:val="0069268F"/>
    <w:rsid w:val="00693F31"/>
    <w:rsid w:val="006B6BFE"/>
    <w:rsid w:val="006C31CF"/>
    <w:rsid w:val="006E1E51"/>
    <w:rsid w:val="006E41F3"/>
    <w:rsid w:val="006F12B4"/>
    <w:rsid w:val="006F13BB"/>
    <w:rsid w:val="006F1E79"/>
    <w:rsid w:val="006F2D11"/>
    <w:rsid w:val="0070315A"/>
    <w:rsid w:val="00707AD3"/>
    <w:rsid w:val="007529EE"/>
    <w:rsid w:val="00760BB8"/>
    <w:rsid w:val="007675BD"/>
    <w:rsid w:val="00773A70"/>
    <w:rsid w:val="00776164"/>
    <w:rsid w:val="0077646C"/>
    <w:rsid w:val="0078162B"/>
    <w:rsid w:val="00791E62"/>
    <w:rsid w:val="007A17BE"/>
    <w:rsid w:val="007A516D"/>
    <w:rsid w:val="007C3E3B"/>
    <w:rsid w:val="007E589A"/>
    <w:rsid w:val="007E7A6E"/>
    <w:rsid w:val="007E7C8E"/>
    <w:rsid w:val="007F2692"/>
    <w:rsid w:val="00801D34"/>
    <w:rsid w:val="0082720F"/>
    <w:rsid w:val="00847C2F"/>
    <w:rsid w:val="00854658"/>
    <w:rsid w:val="00857A8E"/>
    <w:rsid w:val="00874629"/>
    <w:rsid w:val="00886FDF"/>
    <w:rsid w:val="008A7FC2"/>
    <w:rsid w:val="008B3426"/>
    <w:rsid w:val="008B3584"/>
    <w:rsid w:val="008B436A"/>
    <w:rsid w:val="008E2A19"/>
    <w:rsid w:val="00940861"/>
    <w:rsid w:val="009430BE"/>
    <w:rsid w:val="009448DF"/>
    <w:rsid w:val="00952181"/>
    <w:rsid w:val="009605F6"/>
    <w:rsid w:val="009608FE"/>
    <w:rsid w:val="00960CA6"/>
    <w:rsid w:val="00972AF9"/>
    <w:rsid w:val="00973665"/>
    <w:rsid w:val="00985FB9"/>
    <w:rsid w:val="00993613"/>
    <w:rsid w:val="009954DD"/>
    <w:rsid w:val="009C0EFE"/>
    <w:rsid w:val="009C6F9E"/>
    <w:rsid w:val="009E573A"/>
    <w:rsid w:val="009E7462"/>
    <w:rsid w:val="00A01655"/>
    <w:rsid w:val="00A05B8A"/>
    <w:rsid w:val="00A16C30"/>
    <w:rsid w:val="00A33547"/>
    <w:rsid w:val="00A3481E"/>
    <w:rsid w:val="00A42B1E"/>
    <w:rsid w:val="00A43B2F"/>
    <w:rsid w:val="00A5192C"/>
    <w:rsid w:val="00A619EE"/>
    <w:rsid w:val="00A64D7C"/>
    <w:rsid w:val="00A76ED6"/>
    <w:rsid w:val="00A81A8C"/>
    <w:rsid w:val="00A942CD"/>
    <w:rsid w:val="00AA4147"/>
    <w:rsid w:val="00AB6360"/>
    <w:rsid w:val="00AC40BC"/>
    <w:rsid w:val="00AD1B05"/>
    <w:rsid w:val="00AD1D1E"/>
    <w:rsid w:val="00AD32E6"/>
    <w:rsid w:val="00AD3D20"/>
    <w:rsid w:val="00AE5081"/>
    <w:rsid w:val="00B152B3"/>
    <w:rsid w:val="00B27EAB"/>
    <w:rsid w:val="00B363FE"/>
    <w:rsid w:val="00B41FB8"/>
    <w:rsid w:val="00B4392E"/>
    <w:rsid w:val="00B47691"/>
    <w:rsid w:val="00B51DC6"/>
    <w:rsid w:val="00B678FE"/>
    <w:rsid w:val="00B7125C"/>
    <w:rsid w:val="00B74A8C"/>
    <w:rsid w:val="00B86879"/>
    <w:rsid w:val="00BA3D40"/>
    <w:rsid w:val="00BB2E2A"/>
    <w:rsid w:val="00BB5216"/>
    <w:rsid w:val="00BC53C2"/>
    <w:rsid w:val="00BC5899"/>
    <w:rsid w:val="00BD1F63"/>
    <w:rsid w:val="00BE0BDE"/>
    <w:rsid w:val="00BE4E8A"/>
    <w:rsid w:val="00BF57FC"/>
    <w:rsid w:val="00C03D83"/>
    <w:rsid w:val="00C0708D"/>
    <w:rsid w:val="00C12D53"/>
    <w:rsid w:val="00C21BC4"/>
    <w:rsid w:val="00C45393"/>
    <w:rsid w:val="00C57732"/>
    <w:rsid w:val="00C932C8"/>
    <w:rsid w:val="00C96A82"/>
    <w:rsid w:val="00C96B12"/>
    <w:rsid w:val="00CB6194"/>
    <w:rsid w:val="00CC5709"/>
    <w:rsid w:val="00CE2115"/>
    <w:rsid w:val="00CE3AF3"/>
    <w:rsid w:val="00CF5D8E"/>
    <w:rsid w:val="00D02CCB"/>
    <w:rsid w:val="00D0419E"/>
    <w:rsid w:val="00D12EDD"/>
    <w:rsid w:val="00D24FDF"/>
    <w:rsid w:val="00D31222"/>
    <w:rsid w:val="00D31712"/>
    <w:rsid w:val="00D457F6"/>
    <w:rsid w:val="00D5374A"/>
    <w:rsid w:val="00D77EB8"/>
    <w:rsid w:val="00DA4D67"/>
    <w:rsid w:val="00DA7B1B"/>
    <w:rsid w:val="00DA7C8D"/>
    <w:rsid w:val="00DB2765"/>
    <w:rsid w:val="00DB50F2"/>
    <w:rsid w:val="00DE3B8C"/>
    <w:rsid w:val="00E12F2A"/>
    <w:rsid w:val="00E136AB"/>
    <w:rsid w:val="00E23FCF"/>
    <w:rsid w:val="00E62E49"/>
    <w:rsid w:val="00E94DBF"/>
    <w:rsid w:val="00EA2361"/>
    <w:rsid w:val="00EA2E39"/>
    <w:rsid w:val="00EA2F09"/>
    <w:rsid w:val="00EA447B"/>
    <w:rsid w:val="00EB61B0"/>
    <w:rsid w:val="00EC1F4B"/>
    <w:rsid w:val="00EE0884"/>
    <w:rsid w:val="00EE678E"/>
    <w:rsid w:val="00EE7A15"/>
    <w:rsid w:val="00F24654"/>
    <w:rsid w:val="00F26222"/>
    <w:rsid w:val="00F26FD2"/>
    <w:rsid w:val="00F368B2"/>
    <w:rsid w:val="00F45EA9"/>
    <w:rsid w:val="00F64005"/>
    <w:rsid w:val="00F65FE3"/>
    <w:rsid w:val="00F73BDB"/>
    <w:rsid w:val="00F80A5F"/>
    <w:rsid w:val="00F9667D"/>
    <w:rsid w:val="00FB004A"/>
    <w:rsid w:val="00FB4010"/>
    <w:rsid w:val="00FB5B6B"/>
    <w:rsid w:val="00FB620C"/>
    <w:rsid w:val="00FE0C02"/>
    <w:rsid w:val="00FE5B19"/>
    <w:rsid w:val="00FF102B"/>
    <w:rsid w:val="00FF2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5A5E2"/>
  <w15:docId w15:val="{23FD6B95-4B72-4EAF-AD8C-05712FB2E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5C2"/>
  </w:style>
  <w:style w:type="paragraph" w:styleId="Heading1">
    <w:name w:val="heading 1"/>
    <w:basedOn w:val="Normal"/>
    <w:next w:val="Normal"/>
    <w:link w:val="Heading1Char"/>
    <w:qFormat/>
    <w:rsid w:val="004C45C2"/>
    <w:pPr>
      <w:keepNext/>
      <w:keepLines/>
      <w:spacing w:after="0" w:line="240" w:lineRule="auto"/>
      <w:jc w:val="center"/>
      <w:outlineLvl w:val="0"/>
    </w:pPr>
    <w:rPr>
      <w:rFonts w:eastAsia="Times New Roman" w:cs="Arial"/>
      <w:b/>
      <w:sz w:val="28"/>
      <w:szCs w:val="24"/>
      <w:u w:val="single"/>
    </w:rPr>
  </w:style>
  <w:style w:type="paragraph" w:styleId="Heading2">
    <w:name w:val="heading 2"/>
    <w:basedOn w:val="Normal"/>
    <w:next w:val="Normal"/>
    <w:link w:val="Heading2Char"/>
    <w:uiPriority w:val="9"/>
    <w:unhideWhenUsed/>
    <w:qFormat/>
    <w:rsid w:val="008B436A"/>
    <w:pPr>
      <w:outlineLvl w:val="1"/>
    </w:pPr>
  </w:style>
  <w:style w:type="paragraph" w:styleId="Heading3">
    <w:name w:val="heading 3"/>
    <w:basedOn w:val="Normal"/>
    <w:next w:val="Normal"/>
    <w:link w:val="Heading3Char"/>
    <w:qFormat/>
    <w:rsid w:val="00A05B8A"/>
    <w:pPr>
      <w:keepNext/>
      <w:spacing w:after="0" w:line="240" w:lineRule="auto"/>
      <w:outlineLvl w:val="2"/>
    </w:pPr>
    <w:rPr>
      <w:rFonts w:ascii="Univers" w:eastAsia="Times New Roman" w:hAnsi="Univer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otes">
    <w:name w:val="Quotes"/>
    <w:basedOn w:val="DefaultParagraphFont"/>
    <w:rsid w:val="00F368B2"/>
    <w:rPr>
      <w:rFonts w:ascii="BSN Swiss Roman 10pt" w:hAnsi="BSN Swiss Roman 10pt"/>
    </w:rPr>
  </w:style>
  <w:style w:type="paragraph" w:customStyle="1" w:styleId="HTMLBody">
    <w:name w:val="HTML Body"/>
    <w:rsid w:val="00FF23A1"/>
    <w:pPr>
      <w:autoSpaceDE w:val="0"/>
      <w:autoSpaceDN w:val="0"/>
      <w:adjustRightInd w:val="0"/>
      <w:spacing w:after="0" w:line="240" w:lineRule="auto"/>
    </w:pPr>
    <w:rPr>
      <w:rFonts w:eastAsia="Times New Roman" w:cs="Times New Roman"/>
      <w:sz w:val="20"/>
      <w:szCs w:val="20"/>
    </w:rPr>
  </w:style>
  <w:style w:type="paragraph" w:styleId="PlainText">
    <w:name w:val="Plain Text"/>
    <w:basedOn w:val="Normal"/>
    <w:link w:val="PlainTextChar"/>
    <w:uiPriority w:val="99"/>
    <w:unhideWhenUsed/>
    <w:rsid w:val="00FF23A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F23A1"/>
    <w:rPr>
      <w:rFonts w:ascii="Consolas" w:hAnsi="Consolas"/>
      <w:sz w:val="21"/>
      <w:szCs w:val="21"/>
    </w:rPr>
  </w:style>
  <w:style w:type="character" w:styleId="CommentReference">
    <w:name w:val="annotation reference"/>
    <w:basedOn w:val="DefaultParagraphFont"/>
    <w:uiPriority w:val="99"/>
    <w:semiHidden/>
    <w:unhideWhenUsed/>
    <w:rsid w:val="002F240C"/>
    <w:rPr>
      <w:sz w:val="16"/>
      <w:szCs w:val="16"/>
    </w:rPr>
  </w:style>
  <w:style w:type="paragraph" w:styleId="CommentText">
    <w:name w:val="annotation text"/>
    <w:basedOn w:val="Normal"/>
    <w:link w:val="CommentTextChar"/>
    <w:uiPriority w:val="99"/>
    <w:unhideWhenUsed/>
    <w:rsid w:val="002F240C"/>
    <w:pPr>
      <w:spacing w:line="240" w:lineRule="auto"/>
    </w:pPr>
    <w:rPr>
      <w:sz w:val="20"/>
      <w:szCs w:val="20"/>
    </w:rPr>
  </w:style>
  <w:style w:type="character" w:customStyle="1" w:styleId="CommentTextChar">
    <w:name w:val="Comment Text Char"/>
    <w:basedOn w:val="DefaultParagraphFont"/>
    <w:link w:val="CommentText"/>
    <w:uiPriority w:val="99"/>
    <w:rsid w:val="002F240C"/>
    <w:rPr>
      <w:sz w:val="20"/>
      <w:szCs w:val="20"/>
    </w:rPr>
  </w:style>
  <w:style w:type="paragraph" w:styleId="CommentSubject">
    <w:name w:val="annotation subject"/>
    <w:basedOn w:val="CommentText"/>
    <w:next w:val="CommentText"/>
    <w:link w:val="CommentSubjectChar"/>
    <w:uiPriority w:val="99"/>
    <w:semiHidden/>
    <w:unhideWhenUsed/>
    <w:rsid w:val="002F240C"/>
    <w:rPr>
      <w:b/>
      <w:bCs/>
    </w:rPr>
  </w:style>
  <w:style w:type="character" w:customStyle="1" w:styleId="CommentSubjectChar">
    <w:name w:val="Comment Subject Char"/>
    <w:basedOn w:val="CommentTextChar"/>
    <w:link w:val="CommentSubject"/>
    <w:uiPriority w:val="99"/>
    <w:semiHidden/>
    <w:rsid w:val="002F240C"/>
    <w:rPr>
      <w:b/>
      <w:bCs/>
      <w:sz w:val="20"/>
      <w:szCs w:val="20"/>
    </w:rPr>
  </w:style>
  <w:style w:type="paragraph" w:styleId="BalloonText">
    <w:name w:val="Balloon Text"/>
    <w:basedOn w:val="Normal"/>
    <w:link w:val="BalloonTextChar"/>
    <w:uiPriority w:val="99"/>
    <w:semiHidden/>
    <w:unhideWhenUsed/>
    <w:rsid w:val="002F2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40C"/>
    <w:rPr>
      <w:rFonts w:ascii="Tahoma" w:hAnsi="Tahoma" w:cs="Tahoma"/>
      <w:sz w:val="16"/>
      <w:szCs w:val="16"/>
    </w:rPr>
  </w:style>
  <w:style w:type="paragraph" w:styleId="Header">
    <w:name w:val="header"/>
    <w:basedOn w:val="Normal"/>
    <w:link w:val="HeaderChar"/>
    <w:uiPriority w:val="99"/>
    <w:unhideWhenUsed/>
    <w:rsid w:val="00A64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D7C"/>
  </w:style>
  <w:style w:type="paragraph" w:styleId="Footer">
    <w:name w:val="footer"/>
    <w:basedOn w:val="Normal"/>
    <w:link w:val="FooterChar"/>
    <w:uiPriority w:val="99"/>
    <w:unhideWhenUsed/>
    <w:rsid w:val="00A64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D7C"/>
  </w:style>
  <w:style w:type="paragraph" w:styleId="ListParagraph">
    <w:name w:val="List Paragraph"/>
    <w:basedOn w:val="Normal"/>
    <w:uiPriority w:val="34"/>
    <w:qFormat/>
    <w:rsid w:val="00F45EA9"/>
    <w:pPr>
      <w:ind w:left="720"/>
      <w:contextualSpacing/>
    </w:pPr>
  </w:style>
  <w:style w:type="character" w:customStyle="1" w:styleId="Heading1Char">
    <w:name w:val="Heading 1 Char"/>
    <w:basedOn w:val="DefaultParagraphFont"/>
    <w:link w:val="Heading1"/>
    <w:rsid w:val="004C45C2"/>
    <w:rPr>
      <w:rFonts w:eastAsia="Times New Roman" w:cs="Arial"/>
      <w:b/>
      <w:sz w:val="28"/>
      <w:szCs w:val="24"/>
      <w:u w:val="single"/>
    </w:rPr>
  </w:style>
  <w:style w:type="character" w:customStyle="1" w:styleId="Heading3Char">
    <w:name w:val="Heading 3 Char"/>
    <w:basedOn w:val="DefaultParagraphFont"/>
    <w:link w:val="Heading3"/>
    <w:rsid w:val="00A05B8A"/>
    <w:rPr>
      <w:rFonts w:ascii="Univers" w:eastAsia="Times New Roman" w:hAnsi="Univers" w:cs="Times New Roman"/>
      <w:b/>
      <w:sz w:val="20"/>
      <w:szCs w:val="20"/>
    </w:rPr>
  </w:style>
  <w:style w:type="paragraph" w:styleId="BodyText">
    <w:name w:val="Body Text"/>
    <w:basedOn w:val="Normal"/>
    <w:link w:val="BodyTextChar"/>
    <w:rsid w:val="00A05B8A"/>
    <w:pPr>
      <w:spacing w:after="0" w:line="240" w:lineRule="auto"/>
      <w:jc w:val="center"/>
    </w:pPr>
    <w:rPr>
      <w:rFonts w:ascii="Courier New" w:eastAsia="Times New Roman" w:hAnsi="Courier New" w:cs="Courier New"/>
      <w:sz w:val="24"/>
      <w:szCs w:val="24"/>
    </w:rPr>
  </w:style>
  <w:style w:type="character" w:customStyle="1" w:styleId="BodyTextChar">
    <w:name w:val="Body Text Char"/>
    <w:basedOn w:val="DefaultParagraphFont"/>
    <w:link w:val="BodyText"/>
    <w:rsid w:val="00A05B8A"/>
    <w:rPr>
      <w:rFonts w:ascii="Courier New" w:eastAsia="Times New Roman" w:hAnsi="Courier New" w:cs="Courier New"/>
      <w:sz w:val="24"/>
      <w:szCs w:val="24"/>
    </w:rPr>
  </w:style>
  <w:style w:type="paragraph" w:styleId="BodyTextIndent2">
    <w:name w:val="Body Text Indent 2"/>
    <w:basedOn w:val="Normal"/>
    <w:link w:val="BodyTextIndent2Char"/>
    <w:rsid w:val="00A05B8A"/>
    <w:pPr>
      <w:spacing w:after="0" w:line="480" w:lineRule="auto"/>
      <w:ind w:firstLine="720"/>
      <w:jc w:val="center"/>
    </w:pPr>
    <w:rPr>
      <w:rFonts w:ascii="Courier New" w:eastAsia="Times New Roman" w:hAnsi="Courier New" w:cs="Courier New"/>
      <w:sz w:val="24"/>
      <w:szCs w:val="24"/>
      <w:u w:val="single"/>
    </w:rPr>
  </w:style>
  <w:style w:type="character" w:customStyle="1" w:styleId="BodyTextIndent2Char">
    <w:name w:val="Body Text Indent 2 Char"/>
    <w:basedOn w:val="DefaultParagraphFont"/>
    <w:link w:val="BodyTextIndent2"/>
    <w:rsid w:val="00A05B8A"/>
    <w:rPr>
      <w:rFonts w:ascii="Courier New" w:eastAsia="Times New Roman" w:hAnsi="Courier New" w:cs="Courier New"/>
      <w:sz w:val="24"/>
      <w:szCs w:val="24"/>
      <w:u w:val="single"/>
    </w:rPr>
  </w:style>
  <w:style w:type="paragraph" w:styleId="BodyTextIndent">
    <w:name w:val="Body Text Indent"/>
    <w:basedOn w:val="Normal"/>
    <w:link w:val="BodyTextIndentChar"/>
    <w:rsid w:val="00A05B8A"/>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05B8A"/>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DB50F2"/>
    <w:pPr>
      <w:spacing w:after="120" w:line="480" w:lineRule="auto"/>
    </w:pPr>
  </w:style>
  <w:style w:type="character" w:customStyle="1" w:styleId="BodyText2Char">
    <w:name w:val="Body Text 2 Char"/>
    <w:basedOn w:val="DefaultParagraphFont"/>
    <w:link w:val="BodyText2"/>
    <w:uiPriority w:val="99"/>
    <w:rsid w:val="00DB50F2"/>
  </w:style>
  <w:style w:type="paragraph" w:customStyle="1" w:styleId="Default">
    <w:name w:val="Default"/>
    <w:rsid w:val="00D5374A"/>
    <w:pPr>
      <w:autoSpaceDE w:val="0"/>
      <w:autoSpaceDN w:val="0"/>
      <w:adjustRightInd w:val="0"/>
      <w:spacing w:after="0" w:line="240" w:lineRule="auto"/>
    </w:pPr>
    <w:rPr>
      <w:rFonts w:cs="Arial"/>
      <w:color w:val="000000"/>
      <w:sz w:val="24"/>
      <w:szCs w:val="24"/>
    </w:rPr>
  </w:style>
  <w:style w:type="paragraph" w:styleId="NormalWeb">
    <w:name w:val="Normal (Web)"/>
    <w:basedOn w:val="Normal"/>
    <w:uiPriority w:val="99"/>
    <w:semiHidden/>
    <w:unhideWhenUsed/>
    <w:rsid w:val="002E1731"/>
    <w:pPr>
      <w:spacing w:after="0" w:line="240" w:lineRule="auto"/>
    </w:pPr>
    <w:rPr>
      <w:rFonts w:ascii="Times New Roman" w:hAnsi="Times New Roman" w:cs="Times New Roman"/>
      <w:sz w:val="24"/>
      <w:szCs w:val="24"/>
    </w:rPr>
  </w:style>
  <w:style w:type="paragraph" w:styleId="Revision">
    <w:name w:val="Revision"/>
    <w:hidden/>
    <w:uiPriority w:val="99"/>
    <w:semiHidden/>
    <w:rsid w:val="00BD1F63"/>
    <w:pPr>
      <w:spacing w:after="0" w:line="240" w:lineRule="auto"/>
    </w:pPr>
  </w:style>
  <w:style w:type="paragraph" w:styleId="Title">
    <w:name w:val="Title"/>
    <w:basedOn w:val="Normal"/>
    <w:next w:val="Normal"/>
    <w:link w:val="TitleChar"/>
    <w:uiPriority w:val="10"/>
    <w:qFormat/>
    <w:rsid w:val="004C45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45C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B4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487463">
      <w:bodyDiv w:val="1"/>
      <w:marLeft w:val="0"/>
      <w:marRight w:val="0"/>
      <w:marTop w:val="0"/>
      <w:marBottom w:val="0"/>
      <w:divBdr>
        <w:top w:val="none" w:sz="0" w:space="0" w:color="auto"/>
        <w:left w:val="none" w:sz="0" w:space="0" w:color="auto"/>
        <w:bottom w:val="none" w:sz="0" w:space="0" w:color="auto"/>
        <w:right w:val="none" w:sz="0" w:space="0" w:color="auto"/>
      </w:divBdr>
    </w:div>
    <w:div w:id="687099653">
      <w:bodyDiv w:val="1"/>
      <w:marLeft w:val="0"/>
      <w:marRight w:val="0"/>
      <w:marTop w:val="0"/>
      <w:marBottom w:val="0"/>
      <w:divBdr>
        <w:top w:val="none" w:sz="0" w:space="0" w:color="auto"/>
        <w:left w:val="none" w:sz="0" w:space="0" w:color="auto"/>
        <w:bottom w:val="none" w:sz="0" w:space="0" w:color="auto"/>
        <w:right w:val="none" w:sz="0" w:space="0" w:color="auto"/>
      </w:divBdr>
    </w:div>
    <w:div w:id="1088502147">
      <w:bodyDiv w:val="1"/>
      <w:marLeft w:val="0"/>
      <w:marRight w:val="0"/>
      <w:marTop w:val="0"/>
      <w:marBottom w:val="0"/>
      <w:divBdr>
        <w:top w:val="none" w:sz="0" w:space="0" w:color="auto"/>
        <w:left w:val="none" w:sz="0" w:space="0" w:color="auto"/>
        <w:bottom w:val="none" w:sz="0" w:space="0" w:color="auto"/>
        <w:right w:val="none" w:sz="0" w:space="0" w:color="auto"/>
      </w:divBdr>
    </w:div>
    <w:div w:id="1137264988">
      <w:bodyDiv w:val="1"/>
      <w:marLeft w:val="0"/>
      <w:marRight w:val="0"/>
      <w:marTop w:val="0"/>
      <w:marBottom w:val="0"/>
      <w:divBdr>
        <w:top w:val="none" w:sz="0" w:space="0" w:color="auto"/>
        <w:left w:val="none" w:sz="0" w:space="0" w:color="auto"/>
        <w:bottom w:val="none" w:sz="0" w:space="0" w:color="auto"/>
        <w:right w:val="none" w:sz="0" w:space="0" w:color="auto"/>
      </w:divBdr>
    </w:div>
    <w:div w:id="1233545782">
      <w:bodyDiv w:val="1"/>
      <w:marLeft w:val="0"/>
      <w:marRight w:val="0"/>
      <w:marTop w:val="0"/>
      <w:marBottom w:val="0"/>
      <w:divBdr>
        <w:top w:val="none" w:sz="0" w:space="0" w:color="auto"/>
        <w:left w:val="none" w:sz="0" w:space="0" w:color="auto"/>
        <w:bottom w:val="none" w:sz="0" w:space="0" w:color="auto"/>
        <w:right w:val="none" w:sz="0" w:space="0" w:color="auto"/>
      </w:divBdr>
    </w:div>
    <w:div w:id="160938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D60BDD-4681-4168-9430-B02AA3DF2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Pages>
  <Words>1656</Words>
  <Characters>9412</Characters>
  <Application>Microsoft Office Word</Application>
  <DocSecurity>0</DocSecurity>
  <Lines>139</Lines>
  <Paragraphs>34</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vbhargav</dc:creator>
  <cp:lastModifiedBy>Mindy Dinh</cp:lastModifiedBy>
  <cp:revision>3</cp:revision>
  <cp:lastPrinted>2017-11-17T18:47:00Z</cp:lastPrinted>
  <dcterms:created xsi:type="dcterms:W3CDTF">2024-04-08T21:06:00Z</dcterms:created>
  <dcterms:modified xsi:type="dcterms:W3CDTF">2024-04-08T22:29:00Z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a1b8aaa46bf968f7cd1614e4383f7ec46aa1fcad0b7c4c3d2b47f9a26dbcf126</vt:lpwstr>
  </property>
</Properties>
</file>